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0F" w:rsidRPr="00A5060F" w:rsidRDefault="00A5060F" w:rsidP="00A5060F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5060F">
        <w:rPr>
          <w:rFonts w:asciiTheme="majorHAnsi" w:hAnsiTheme="majorHAnsi"/>
          <w:b/>
          <w:sz w:val="24"/>
          <w:szCs w:val="24"/>
        </w:rPr>
        <w:t>ANEXA Nr. 8</w:t>
      </w:r>
    </w:p>
    <w:p w:rsidR="00A5060F" w:rsidRDefault="00A5060F" w:rsidP="0090295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5060F">
        <w:rPr>
          <w:rFonts w:asciiTheme="majorHAnsi" w:hAnsiTheme="majorHAnsi"/>
          <w:b/>
          <w:sz w:val="24"/>
          <w:szCs w:val="24"/>
        </w:rPr>
        <w:t>COMISIA DE INGINERIE CHIMICĂ, INGINERIE MEDICALĂ, ȘTIINȚA MATERIALELOR ȘI NANOMATERIALE</w:t>
      </w:r>
    </w:p>
    <w:p w:rsidR="00BF778A" w:rsidRDefault="00BF778A" w:rsidP="00A5060F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F778A">
        <w:rPr>
          <w:rFonts w:asciiTheme="majorHAnsi" w:hAnsiTheme="majorHAnsi"/>
          <w:b/>
          <w:sz w:val="24"/>
          <w:szCs w:val="24"/>
        </w:rPr>
        <w:t>Concurs de Conferențiar/CS II</w:t>
      </w:r>
    </w:p>
    <w:p w:rsidR="00A5060F" w:rsidRPr="00BF778A" w:rsidRDefault="00A5060F" w:rsidP="00A5060F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778A">
        <w:rPr>
          <w:rFonts w:asciiTheme="majorHAnsi" w:hAnsiTheme="majorHAnsi"/>
          <w:b/>
          <w:sz w:val="24"/>
          <w:szCs w:val="24"/>
        </w:rPr>
        <w:t>Standarde minimale (cumulative):</w:t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778A">
        <w:rPr>
          <w:rFonts w:asciiTheme="majorHAnsi" w:hAnsiTheme="majorHAnsi"/>
          <w:b/>
          <w:sz w:val="24"/>
          <w:szCs w:val="24"/>
        </w:rPr>
        <w:t>a) NTOP ≥ 2</w:t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778A">
        <w:rPr>
          <w:rFonts w:asciiTheme="majorHAnsi" w:hAnsiTheme="majorHAnsi"/>
          <w:b/>
          <w:sz w:val="24"/>
          <w:szCs w:val="24"/>
        </w:rPr>
        <w:t>b) NP ≥ 10</w:t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778A">
        <w:rPr>
          <w:rFonts w:asciiTheme="majorHAnsi" w:hAnsiTheme="majorHAnsi"/>
          <w:b/>
          <w:sz w:val="24"/>
          <w:szCs w:val="24"/>
        </w:rPr>
        <w:t>c) FIC ≥ 15</w:t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F778A">
        <w:rPr>
          <w:rFonts w:asciiTheme="majorHAnsi" w:hAnsiTheme="majorHAnsi"/>
          <w:sz w:val="24"/>
          <w:szCs w:val="24"/>
        </w:rPr>
        <w:t>În acest caz în calculul FIC se ține seamă de factorul de impact al revistei la care candidatul a publicat un articol ca autor principal și respectiv de factorul de impact împărțit la numărul de autori pentru revistele în care candidatul a publicat un articol în care nu este autor principal.</w:t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778A">
        <w:rPr>
          <w:rFonts w:asciiTheme="majorHAnsi" w:hAnsiTheme="majorHAnsi"/>
          <w:b/>
          <w:sz w:val="24"/>
          <w:szCs w:val="24"/>
        </w:rPr>
        <w:t>d) NC ≥ 50</w:t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F778A">
        <w:rPr>
          <w:rFonts w:asciiTheme="majorHAnsi" w:hAnsiTheme="majorHAnsi"/>
          <w:sz w:val="24"/>
          <w:szCs w:val="24"/>
        </w:rPr>
        <w:t>Brevetele naționale (FI = 1) și internaționale (FI = 3) intră în calculul FIC de la punctul c)</w:t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778A">
        <w:rPr>
          <w:rFonts w:asciiTheme="majorHAnsi" w:hAnsiTheme="majorHAnsi"/>
          <w:b/>
          <w:sz w:val="24"/>
          <w:szCs w:val="24"/>
        </w:rPr>
        <w:t>e) NCO ≥ 1 (in calitate de Director proiect/Responsabil proiect)</w:t>
      </w:r>
      <w:r w:rsidRPr="00BF778A">
        <w:rPr>
          <w:rFonts w:asciiTheme="majorHAnsi" w:hAnsiTheme="majorHAnsi"/>
          <w:b/>
          <w:sz w:val="24"/>
          <w:szCs w:val="24"/>
        </w:rPr>
        <w:cr/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BF778A">
        <w:rPr>
          <w:rFonts w:asciiTheme="majorHAnsi" w:hAnsiTheme="majorHAnsi"/>
          <w:b/>
          <w:sz w:val="24"/>
          <w:szCs w:val="24"/>
        </w:rPr>
        <w:t>unde:</w:t>
      </w:r>
    </w:p>
    <w:p w:rsidR="00BF778A" w:rsidRPr="00BF778A" w:rsidRDefault="00BF778A" w:rsidP="00BF778A">
      <w:pPr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778A">
        <w:rPr>
          <w:rFonts w:asciiTheme="majorHAnsi" w:hAnsiTheme="majorHAnsi"/>
          <w:sz w:val="24"/>
          <w:szCs w:val="24"/>
        </w:rPr>
        <w:t>NTOP = număr total de articole în reviste ISI situate în top 25% (zona roșie) în calitate de autor principal. Situația</w:t>
      </w:r>
      <w:r w:rsidR="00CF0608">
        <w:rPr>
          <w:rFonts w:asciiTheme="majorHAnsi" w:hAnsiTheme="majorHAnsi"/>
          <w:sz w:val="24"/>
          <w:szCs w:val="24"/>
        </w:rPr>
        <w:t xml:space="preserve"> </w:t>
      </w:r>
      <w:r w:rsidRPr="00BF778A">
        <w:rPr>
          <w:rFonts w:asciiTheme="majorHAnsi" w:hAnsiTheme="majorHAnsi"/>
          <w:sz w:val="24"/>
          <w:szCs w:val="24"/>
        </w:rPr>
        <w:t>revistelor în top 25% se judecă pe cazul cel mai favorabil pentru candidat, fie la momentul publicării, fie la data înscrierii la concurs.</w:t>
      </w:r>
    </w:p>
    <w:p w:rsidR="00BF778A" w:rsidRPr="00BF778A" w:rsidRDefault="00BF778A" w:rsidP="00BF778A">
      <w:pPr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778A">
        <w:rPr>
          <w:rFonts w:asciiTheme="majorHAnsi" w:hAnsiTheme="majorHAnsi"/>
          <w:sz w:val="24"/>
          <w:szCs w:val="24"/>
        </w:rPr>
        <w:t>FIC = factor de impact cumulat (suma factorilor de impact ai revistelor la momentul înscrierii la concursul pentru ocuparea unei poziții didactice)</w:t>
      </w:r>
    </w:p>
    <w:p w:rsidR="00BF778A" w:rsidRPr="00BF778A" w:rsidRDefault="00BF778A" w:rsidP="00BF778A">
      <w:pPr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778A">
        <w:rPr>
          <w:rFonts w:asciiTheme="majorHAnsi" w:hAnsiTheme="majorHAnsi"/>
          <w:sz w:val="24"/>
          <w:szCs w:val="24"/>
        </w:rPr>
        <w:t>NP = număr articole în reviste ISI la care candidatul este autor principal (prim autor sau autor de corespondență)</w:t>
      </w:r>
    </w:p>
    <w:p w:rsidR="00BF778A" w:rsidRPr="00BF778A" w:rsidRDefault="00BF778A" w:rsidP="00BF778A">
      <w:pPr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778A">
        <w:rPr>
          <w:rFonts w:asciiTheme="majorHAnsi" w:hAnsiTheme="majorHAnsi"/>
          <w:sz w:val="24"/>
          <w:szCs w:val="24"/>
        </w:rPr>
        <w:t>NC = număr total de citări (din baza SCOPUS) (se exclud autocitările candidatului)</w:t>
      </w:r>
    </w:p>
    <w:p w:rsidR="00BF778A" w:rsidRPr="00BF778A" w:rsidRDefault="00BF778A" w:rsidP="00BF778A">
      <w:pPr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F778A">
        <w:rPr>
          <w:rFonts w:asciiTheme="majorHAnsi" w:hAnsiTheme="majorHAnsi"/>
          <w:sz w:val="24"/>
          <w:szCs w:val="24"/>
        </w:rPr>
        <w:t>NCO = număr contracte de cercetare-dezvoltare-inovare obținute prin competiție la nivel național sau internațional ori contracte de cercetare-dezvoltare-inovare cu terții în valoare minimă echivalentă cu 10.000 Euro</w:t>
      </w:r>
    </w:p>
    <w:p w:rsidR="00BF778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F399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  <w:lang w:val="en-US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a) </w:t>
      </w:r>
      <w:r w:rsidR="006F399A" w:rsidRPr="00BF778A">
        <w:rPr>
          <w:rFonts w:asciiTheme="majorHAnsi" w:hAnsiTheme="majorHAnsi"/>
          <w:b/>
          <w:sz w:val="24"/>
          <w:szCs w:val="24"/>
          <w:u w:val="single"/>
        </w:rPr>
        <w:t xml:space="preserve">NTOP </w:t>
      </w:r>
      <w:r w:rsidR="006F399A" w:rsidRPr="00BF778A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&gt; 2 </w:t>
      </w:r>
    </w:p>
    <w:p w:rsidR="006F399A" w:rsidRPr="002D3710" w:rsidRDefault="006F399A" w:rsidP="002D3710">
      <w:pPr>
        <w:pStyle w:val="ECVSectionDetails"/>
        <w:numPr>
          <w:ilvl w:val="0"/>
          <w:numId w:val="1"/>
        </w:numPr>
        <w:tabs>
          <w:tab w:val="left" w:pos="284"/>
          <w:tab w:val="left" w:pos="2790"/>
        </w:tabs>
        <w:spacing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Felicia Marc, Corina Maria Moldovan, Anica Hoza, Sorina Magheru, Gabriela Ciavoi, Dorina Maria Farcas, Liliana Sachelarie, Gabriela Calin, </w:t>
      </w: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Romila*,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 Daniela Damir,  Alexandru Gratian Naum. Comparative Study of Cytokine Storm Treatment in Patients with COVID-19 P</w:t>
      </w:r>
      <w:r w:rsidR="002D3710">
        <w:rPr>
          <w:rFonts w:asciiTheme="majorHAnsi" w:hAnsiTheme="majorHAnsi" w:cs="Arial"/>
          <w:color w:val="auto"/>
          <w:sz w:val="24"/>
          <w:lang w:val="ro-RO"/>
        </w:rPr>
        <w:t xml:space="preserve">neumonia Using Immunomodulators. </w:t>
      </w:r>
      <w:r w:rsidR="002D3710" w:rsidRPr="002D3710">
        <w:rPr>
          <w:rFonts w:asciiTheme="majorHAnsi" w:hAnsiTheme="majorHAnsi" w:cs="Arial"/>
          <w:color w:val="auto"/>
          <w:sz w:val="24"/>
          <w:lang w:val="ro-RO"/>
        </w:rPr>
        <w:t>J Clin Med. 2022;11(10):2945.</w:t>
      </w:r>
      <w:r w:rsidRPr="002D3710"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="002D3710">
        <w:rPr>
          <w:rFonts w:asciiTheme="majorHAnsi" w:hAnsiTheme="majorHAnsi" w:cs="Arial"/>
          <w:b/>
          <w:color w:val="auto"/>
          <w:sz w:val="24"/>
          <w:lang w:val="ro-RO"/>
        </w:rPr>
        <w:t>IF= 3.9</w:t>
      </w:r>
      <w:r w:rsidR="00CF0608" w:rsidRPr="002D3710">
        <w:rPr>
          <w:rFonts w:asciiTheme="majorHAnsi" w:hAnsiTheme="majorHAnsi" w:cs="Arial"/>
          <w:b/>
          <w:color w:val="auto"/>
          <w:sz w:val="24"/>
          <w:lang w:val="ro-RO"/>
        </w:rPr>
        <w:t xml:space="preserve"> (zona </w:t>
      </w:r>
      <w:r w:rsidR="000B0513" w:rsidRPr="002D3710">
        <w:rPr>
          <w:rFonts w:asciiTheme="majorHAnsi" w:hAnsiTheme="majorHAnsi" w:cs="Arial"/>
          <w:b/>
          <w:color w:val="auto"/>
          <w:sz w:val="24"/>
          <w:lang w:val="ro-RO"/>
        </w:rPr>
        <w:t>rosie 2022</w:t>
      </w:r>
      <w:r w:rsidR="00CF0608" w:rsidRPr="002D3710">
        <w:rPr>
          <w:rFonts w:asciiTheme="majorHAnsi" w:hAnsiTheme="majorHAnsi" w:cs="Arial"/>
          <w:b/>
          <w:color w:val="auto"/>
          <w:sz w:val="24"/>
          <w:lang w:val="ro-RO"/>
        </w:rPr>
        <w:t>)</w:t>
      </w:r>
    </w:p>
    <w:p w:rsidR="006F399A" w:rsidRPr="000B0513" w:rsidRDefault="006F399A" w:rsidP="00BF778A">
      <w:pPr>
        <w:pStyle w:val="ECVSectionDetails"/>
        <w:numPr>
          <w:ilvl w:val="0"/>
          <w:numId w:val="1"/>
        </w:numPr>
        <w:tabs>
          <w:tab w:val="left" w:pos="284"/>
          <w:tab w:val="left" w:pos="2790"/>
        </w:tabs>
        <w:spacing w:before="0"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color w:val="auto"/>
          <w:sz w:val="24"/>
          <w:lang w:val="ro-RO"/>
        </w:rPr>
        <w:lastRenderedPageBreak/>
        <w:t xml:space="preserve">Felicia Marc, Corina Moldovan, Anica Hoza, Patricia Restea, Liliana Sachelarie, </w:t>
      </w: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Ecaterina Romila*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, Corina Suteu  Dorina Maria Farcas,  Evaluation of Hepatic Biochemical Parameters during Antiviral Treatment in COVID-19 Patients. </w:t>
      </w:r>
      <w:r w:rsidR="00AF707C" w:rsidRPr="00AF707C">
        <w:rPr>
          <w:rFonts w:asciiTheme="majorHAnsi" w:hAnsiTheme="majorHAnsi" w:cs="Arial"/>
          <w:color w:val="auto"/>
          <w:sz w:val="24"/>
          <w:lang w:val="ro-RO"/>
        </w:rPr>
        <w:t>Biology (Basel). 2022; 11(1): 13.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BF778A">
        <w:rPr>
          <w:rFonts w:asciiTheme="majorHAnsi" w:hAnsiTheme="majorHAnsi" w:cs="Arial"/>
          <w:b/>
          <w:color w:val="auto"/>
          <w:sz w:val="24"/>
          <w:lang w:val="ro-RO"/>
        </w:rPr>
        <w:t>IF=</w:t>
      </w:r>
      <w:r w:rsidRPr="00AF707C">
        <w:rPr>
          <w:rFonts w:asciiTheme="majorHAnsi" w:hAnsiTheme="majorHAnsi" w:cs="Arial"/>
          <w:b/>
          <w:color w:val="auto"/>
          <w:sz w:val="24"/>
          <w:lang w:val="ro-RO"/>
        </w:rPr>
        <w:t xml:space="preserve"> </w:t>
      </w:r>
      <w:r w:rsidR="00AF707C">
        <w:rPr>
          <w:rFonts w:asciiTheme="majorHAnsi" w:hAnsiTheme="majorHAnsi" w:cs="Arial"/>
          <w:b/>
          <w:color w:val="auto"/>
          <w:sz w:val="24"/>
          <w:lang w:val="ro-RO"/>
        </w:rPr>
        <w:t>4.2</w:t>
      </w:r>
      <w:r w:rsidR="00CF0608">
        <w:rPr>
          <w:rFonts w:asciiTheme="majorHAnsi" w:hAnsiTheme="majorHAnsi" w:cs="Arial"/>
          <w:b/>
          <w:color w:val="auto"/>
          <w:sz w:val="24"/>
          <w:lang w:val="ro-RO"/>
        </w:rPr>
        <w:t xml:space="preserve"> (zona </w:t>
      </w:r>
      <w:r w:rsidR="000B0513">
        <w:rPr>
          <w:rFonts w:asciiTheme="majorHAnsi" w:hAnsiTheme="majorHAnsi" w:cs="Arial"/>
          <w:b/>
          <w:color w:val="auto"/>
          <w:sz w:val="24"/>
          <w:lang w:val="ro-RO"/>
        </w:rPr>
        <w:t>rosie 2021</w:t>
      </w:r>
      <w:r w:rsidR="00CF0608">
        <w:rPr>
          <w:rFonts w:asciiTheme="majorHAnsi" w:hAnsiTheme="majorHAnsi" w:cs="Arial"/>
          <w:b/>
          <w:color w:val="auto"/>
          <w:sz w:val="24"/>
          <w:lang w:val="ro-RO"/>
        </w:rPr>
        <w:t>)</w:t>
      </w:r>
    </w:p>
    <w:p w:rsidR="00A5060F" w:rsidRPr="00A5060F" w:rsidRDefault="00A5060F" w:rsidP="00BF778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6F399A" w:rsidRPr="00BF778A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b) </w:t>
      </w:r>
      <w:r w:rsidR="006F399A" w:rsidRPr="00BF778A">
        <w:rPr>
          <w:rFonts w:asciiTheme="majorHAnsi" w:hAnsiTheme="majorHAnsi"/>
          <w:b/>
          <w:sz w:val="24"/>
          <w:szCs w:val="24"/>
        </w:rPr>
        <w:t>NP</w:t>
      </w:r>
      <w:r w:rsidR="006F399A" w:rsidRPr="00BF778A">
        <w:rPr>
          <w:rFonts w:asciiTheme="majorHAnsi" w:hAnsiTheme="majorHAnsi"/>
          <w:b/>
          <w:sz w:val="24"/>
          <w:szCs w:val="24"/>
          <w:u w:val="single"/>
        </w:rPr>
        <w:t>&gt;</w:t>
      </w:r>
      <w:r w:rsidR="006F399A" w:rsidRPr="00BF778A">
        <w:rPr>
          <w:rFonts w:asciiTheme="majorHAnsi" w:hAnsiTheme="majorHAnsi"/>
          <w:b/>
          <w:sz w:val="24"/>
          <w:szCs w:val="24"/>
        </w:rPr>
        <w:t>10</w:t>
      </w:r>
    </w:p>
    <w:p w:rsidR="00AF707C" w:rsidRPr="00AF707C" w:rsidRDefault="00AF707C" w:rsidP="00AF707C">
      <w:pPr>
        <w:pStyle w:val="ECVSectionDetails"/>
        <w:numPr>
          <w:ilvl w:val="0"/>
          <w:numId w:val="2"/>
        </w:numPr>
        <w:tabs>
          <w:tab w:val="left" w:pos="284"/>
          <w:tab w:val="left" w:pos="2790"/>
        </w:tabs>
        <w:spacing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>
        <w:rPr>
          <w:rFonts w:asciiTheme="majorHAnsi" w:hAnsiTheme="majorHAnsi" w:cs="Arial"/>
          <w:color w:val="auto"/>
          <w:sz w:val="24"/>
          <w:lang w:val="ro-RO"/>
        </w:rPr>
        <w:t>Madalina Andreea Robea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,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Ovidiu Dumitru Ilie,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Mircea Nicusor Nicoara,Gheorghe Solcan,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AF707C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Ecaterina Romila</w:t>
      </w:r>
      <w:r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*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, Dorel Ureche, Alin Ciobica. </w:t>
      </w:r>
      <w:r w:rsidR="00627BA5" w:rsidRPr="00AF707C">
        <w:rPr>
          <w:rFonts w:asciiTheme="majorHAnsi" w:hAnsiTheme="majorHAnsi" w:cs="Arial"/>
          <w:color w:val="auto"/>
          <w:sz w:val="24"/>
          <w:lang w:val="ro-RO"/>
        </w:rPr>
        <w:t xml:space="preserve">Vitamin B12 Ameliorates Pesticide-Induced Sociability Impairment in Zebrafish (Danio rerio): A Prospective Controlled Intervention Study. 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Animals (Basel)</w:t>
      </w:r>
      <w:r>
        <w:rPr>
          <w:rFonts w:asciiTheme="majorHAnsi" w:hAnsiTheme="majorHAnsi" w:cs="Arial"/>
          <w:color w:val="auto"/>
          <w:sz w:val="24"/>
          <w:lang w:val="ro-RO"/>
        </w:rPr>
        <w:t>. 2024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;14(3):405</w:t>
      </w:r>
      <w:r>
        <w:rPr>
          <w:rFonts w:asciiTheme="majorHAnsi" w:hAnsiTheme="majorHAnsi" w:cs="Arial"/>
          <w:color w:val="auto"/>
          <w:sz w:val="24"/>
          <w:lang w:val="ro-RO"/>
        </w:rPr>
        <w:t>.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="00627BA5" w:rsidRPr="00AF707C">
        <w:rPr>
          <w:rFonts w:asciiTheme="majorHAnsi" w:hAnsiTheme="majorHAnsi" w:cs="Arial"/>
          <w:b/>
          <w:color w:val="auto"/>
          <w:sz w:val="24"/>
          <w:lang w:val="ro-RO"/>
        </w:rPr>
        <w:t xml:space="preserve">IF= 3. </w:t>
      </w:r>
      <w:r w:rsidRPr="00AF707C">
        <w:rPr>
          <w:rFonts w:asciiTheme="majorHAnsi" w:hAnsiTheme="majorHAnsi" w:cs="Arial"/>
          <w:b/>
          <w:color w:val="auto"/>
          <w:sz w:val="24"/>
          <w:lang w:val="ro-RO"/>
        </w:rPr>
        <w:t>(zona rosie 2023)</w:t>
      </w:r>
    </w:p>
    <w:p w:rsidR="000B0513" w:rsidRPr="00AF707C" w:rsidRDefault="00AF707C" w:rsidP="00AF707C">
      <w:pPr>
        <w:pStyle w:val="ECVSectionDetails"/>
        <w:numPr>
          <w:ilvl w:val="0"/>
          <w:numId w:val="2"/>
        </w:numPr>
        <w:tabs>
          <w:tab w:val="left" w:pos="284"/>
          <w:tab w:val="left" w:pos="2790"/>
        </w:tabs>
        <w:spacing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AF707C">
        <w:rPr>
          <w:rFonts w:asciiTheme="majorHAnsi" w:hAnsiTheme="majorHAnsi" w:cs="Arial"/>
          <w:color w:val="auto"/>
          <w:sz w:val="24"/>
          <w:lang w:val="ro-RO"/>
        </w:rPr>
        <w:t>Ioannis Mavroudis,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 Alin Ciobica, Ioana Miruna Balmus, Vasile Burlui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,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AF707C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Romila</w:t>
      </w:r>
      <w:r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*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, 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Alin Iordache</w:t>
      </w:r>
      <w:r w:rsidR="000B0513" w:rsidRPr="00AF707C">
        <w:rPr>
          <w:rFonts w:asciiTheme="majorHAnsi" w:hAnsiTheme="majorHAnsi" w:cs="Arial"/>
          <w:color w:val="auto"/>
          <w:sz w:val="24"/>
          <w:lang w:val="ro-RO"/>
        </w:rPr>
        <w:t xml:space="preserve">. A Systematic Review and Meta-Analysis of the Inflammatory Biomarkers in Mild Traumatic Brain Injury. 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Biomedicines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. 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>2024;12(2):293</w:t>
      </w:r>
      <w:r>
        <w:rPr>
          <w:rFonts w:asciiTheme="majorHAnsi" w:hAnsiTheme="majorHAnsi" w:cs="Arial"/>
          <w:color w:val="auto"/>
          <w:sz w:val="24"/>
          <w:lang w:val="ro-RO"/>
        </w:rPr>
        <w:t>.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hyperlink r:id="rId5" w:history="1">
        <w:r w:rsidR="000B0513" w:rsidRPr="00AF707C">
          <w:rPr>
            <w:rFonts w:asciiTheme="majorHAnsi" w:hAnsiTheme="majorHAnsi" w:cs="Arial"/>
            <w:color w:val="auto"/>
            <w:sz w:val="24"/>
            <w:lang w:val="ro-RO"/>
          </w:rPr>
          <w:t xml:space="preserve"> </w:t>
        </w:r>
        <w:r w:rsidR="000B0513" w:rsidRPr="00AF707C">
          <w:rPr>
            <w:rFonts w:asciiTheme="majorHAnsi" w:hAnsiTheme="majorHAnsi" w:cs="Arial"/>
            <w:b/>
            <w:color w:val="auto"/>
            <w:sz w:val="24"/>
            <w:lang w:val="ro-RO"/>
          </w:rPr>
          <w:t xml:space="preserve">IF </w:t>
        </w:r>
        <w:r>
          <w:rPr>
            <w:rFonts w:asciiTheme="majorHAnsi" w:hAnsiTheme="majorHAnsi" w:cs="Arial"/>
            <w:b/>
            <w:color w:val="auto"/>
            <w:sz w:val="24"/>
            <w:lang w:val="ro-RO"/>
          </w:rPr>
          <w:t>=</w:t>
        </w:r>
        <w:r w:rsidR="000B0513" w:rsidRPr="00AF707C">
          <w:rPr>
            <w:rFonts w:asciiTheme="majorHAnsi" w:hAnsiTheme="majorHAnsi" w:cs="Arial"/>
            <w:b/>
            <w:color w:val="auto"/>
            <w:sz w:val="24"/>
            <w:lang w:val="ro-RO"/>
          </w:rPr>
          <w:t>4,7</w:t>
        </w:r>
      </w:hyperlink>
      <w:r w:rsidR="000B0513" w:rsidRPr="00AF707C">
        <w:rPr>
          <w:rFonts w:asciiTheme="majorHAnsi" w:hAnsiTheme="majorHAnsi" w:cs="Arial"/>
          <w:color w:val="auto"/>
          <w:sz w:val="24"/>
          <w:lang w:val="ro-RO"/>
        </w:rPr>
        <w:t xml:space="preserve">. </w:t>
      </w:r>
    </w:p>
    <w:p w:rsidR="006F399A" w:rsidRPr="00BF778A" w:rsidRDefault="006F399A" w:rsidP="00BF778A">
      <w:pPr>
        <w:pStyle w:val="ECVSectionDetails"/>
        <w:numPr>
          <w:ilvl w:val="0"/>
          <w:numId w:val="2"/>
        </w:numPr>
        <w:tabs>
          <w:tab w:val="left" w:pos="284"/>
          <w:tab w:val="left" w:pos="2790"/>
        </w:tabs>
        <w:spacing w:before="0"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color w:val="auto"/>
          <w:sz w:val="24"/>
          <w:lang w:val="ro-RO"/>
        </w:rPr>
        <w:t>Nashaba Khan</w:t>
      </w:r>
      <w:r w:rsidRPr="00AF707C">
        <w:rPr>
          <w:rFonts w:asciiTheme="majorHAnsi" w:hAnsiTheme="majorHAnsi" w:cs="Arial"/>
          <w:color w:val="auto"/>
          <w:sz w:val="24"/>
          <w:lang w:val="ro-RO"/>
        </w:rPr>
        <w:t xml:space="preserve">, </w:t>
      </w: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Romila *,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 Alin Ciobica *, Fatima Zahra Kamal, Ioannis Mavroudis, Mild Traumatic Brain Injury as a Risk Factor for Parkinsonism, tics and Akathisia: A systematic review and Meta-Analysis. Life</w:t>
      </w:r>
      <w:r w:rsidR="00AF707C">
        <w:rPr>
          <w:rFonts w:asciiTheme="majorHAnsi" w:hAnsiTheme="majorHAnsi" w:cs="Arial"/>
          <w:color w:val="auto"/>
          <w:sz w:val="24"/>
          <w:lang w:val="ro-RO"/>
        </w:rPr>
        <w:t xml:space="preserve"> (Basel). 2024;14(1):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>32</w:t>
      </w:r>
      <w:r w:rsidR="00AF707C">
        <w:rPr>
          <w:rFonts w:asciiTheme="majorHAnsi" w:hAnsiTheme="majorHAnsi" w:cs="Arial"/>
          <w:color w:val="auto"/>
          <w:sz w:val="24"/>
          <w:lang w:val="ro-RO"/>
        </w:rPr>
        <w:t>.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="000B0513" w:rsidRPr="000B0513">
        <w:rPr>
          <w:rFonts w:asciiTheme="majorHAnsi" w:hAnsiTheme="majorHAnsi" w:cs="Arial"/>
          <w:b/>
          <w:color w:val="auto"/>
          <w:sz w:val="24"/>
          <w:lang w:val="ro-RO"/>
        </w:rPr>
        <w:t>IF=3,2</w:t>
      </w:r>
    </w:p>
    <w:p w:rsidR="006F399A" w:rsidRPr="00045C2A" w:rsidRDefault="006F399A" w:rsidP="00045C2A">
      <w:pPr>
        <w:pStyle w:val="ECVSectionDetails"/>
        <w:numPr>
          <w:ilvl w:val="0"/>
          <w:numId w:val="2"/>
        </w:numPr>
        <w:tabs>
          <w:tab w:val="left" w:pos="284"/>
          <w:tab w:val="left" w:pos="2790"/>
        </w:tabs>
        <w:spacing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Ioannis Mavroudis, Sidra Jabeen, Ioana Miruna Balmus, Alin Ciobica, Vasile Burlui, </w:t>
      </w: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Romila*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, Alin Iordache. Exploring the Potential of Exosomal Biomarkers in Mild Traumatic Brain Injury and Post-Concussion Syndrome: A Systematic Review. </w:t>
      </w:r>
      <w:r w:rsidR="00045C2A" w:rsidRPr="00045C2A">
        <w:rPr>
          <w:rFonts w:asciiTheme="majorHAnsi" w:hAnsiTheme="majorHAnsi" w:cs="Arial"/>
          <w:color w:val="auto"/>
          <w:sz w:val="24"/>
          <w:lang w:val="ro-RO"/>
        </w:rPr>
        <w:t>J Pers Med. 2023;14(1):35.</w:t>
      </w:r>
      <w:r w:rsidR="00045C2A"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="00A110E5" w:rsidRPr="000B0513">
        <w:rPr>
          <w:rFonts w:asciiTheme="majorHAnsi" w:hAnsiTheme="majorHAnsi" w:cs="Arial"/>
          <w:b/>
          <w:color w:val="auto"/>
          <w:sz w:val="24"/>
          <w:lang w:val="ro-RO"/>
        </w:rPr>
        <w:t>IF=3,</w:t>
      </w:r>
      <w:r w:rsidR="00A110E5">
        <w:rPr>
          <w:rFonts w:asciiTheme="majorHAnsi" w:hAnsiTheme="majorHAnsi" w:cs="Arial"/>
          <w:b/>
          <w:color w:val="auto"/>
          <w:sz w:val="24"/>
          <w:lang w:val="ro-RO"/>
        </w:rPr>
        <w:t>4</w:t>
      </w:r>
    </w:p>
    <w:p w:rsidR="006F399A" w:rsidRPr="00A110E5" w:rsidRDefault="006F399A" w:rsidP="00A110E5">
      <w:pPr>
        <w:pStyle w:val="ECVSectionDetails"/>
        <w:numPr>
          <w:ilvl w:val="0"/>
          <w:numId w:val="2"/>
        </w:numPr>
        <w:tabs>
          <w:tab w:val="left" w:pos="284"/>
          <w:tab w:val="left" w:pos="2790"/>
        </w:tabs>
        <w:spacing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Guedang Nyayi Simon Désiré, Foyet Harquin Simplice, Camdi Woumitna Guillaume, Fatima Zahra Kamal , Bouvourné Parfait, Tchinda Defo Serge Hermann, Ngatanko Abaissou Hervé Hervé, Keugong Wado Eglantine, Damo Kamda Jorelle Linda, Rebe Nhouma Roland, Kamleu Nkwingwa Balbine, Kenko Djoumessi Lea Blondelle, Alin Ciobica , </w:t>
      </w: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Romila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* . Cashew (Anacardium occidentale) Extract: Possible Effects on Hypothalamic-Pituitary-Adrenal (HPA) Axis in Modulating Chronic Stress. </w:t>
      </w:r>
      <w:r w:rsidR="00A110E5" w:rsidRPr="00A110E5">
        <w:rPr>
          <w:rFonts w:asciiTheme="majorHAnsi" w:hAnsiTheme="majorHAnsi" w:cs="Arial"/>
          <w:color w:val="auto"/>
          <w:sz w:val="24"/>
          <w:lang w:val="ro-RO"/>
        </w:rPr>
        <w:t>Brain Sci. 2023;13(11):1561.</w:t>
      </w:r>
      <w:r w:rsidR="00A110E5" w:rsidRPr="00A110E5">
        <w:rPr>
          <w:rFonts w:asciiTheme="majorHAnsi" w:hAnsiTheme="majorHAnsi" w:cs="Arial"/>
          <w:b/>
          <w:color w:val="auto"/>
          <w:sz w:val="24"/>
          <w:lang w:val="ro-RO"/>
        </w:rPr>
        <w:t xml:space="preserve"> </w:t>
      </w:r>
      <w:r w:rsidR="00A110E5" w:rsidRPr="000B0513">
        <w:rPr>
          <w:rFonts w:asciiTheme="majorHAnsi" w:hAnsiTheme="majorHAnsi" w:cs="Arial"/>
          <w:b/>
          <w:color w:val="auto"/>
          <w:sz w:val="24"/>
          <w:lang w:val="ro-RO"/>
        </w:rPr>
        <w:t>IF=3,</w:t>
      </w:r>
      <w:r w:rsidR="00A110E5">
        <w:rPr>
          <w:rFonts w:asciiTheme="majorHAnsi" w:hAnsiTheme="majorHAnsi" w:cs="Arial"/>
          <w:b/>
          <w:color w:val="auto"/>
          <w:sz w:val="24"/>
          <w:lang w:val="ro-RO"/>
        </w:rPr>
        <w:t>3</w:t>
      </w:r>
    </w:p>
    <w:p w:rsidR="00627BA5" w:rsidRDefault="00627BA5" w:rsidP="00BF778A">
      <w:pPr>
        <w:pStyle w:val="ECVSectionDetails"/>
        <w:numPr>
          <w:ilvl w:val="0"/>
          <w:numId w:val="2"/>
        </w:numPr>
        <w:tabs>
          <w:tab w:val="left" w:pos="284"/>
          <w:tab w:val="left" w:pos="2790"/>
        </w:tabs>
        <w:spacing w:before="0"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627BA5">
        <w:rPr>
          <w:rFonts w:asciiTheme="majorHAnsi" w:hAnsiTheme="majorHAnsi" w:cs="Arial"/>
          <w:color w:val="auto"/>
          <w:sz w:val="24"/>
          <w:lang w:val="ro-RO"/>
        </w:rPr>
        <w:t xml:space="preserve">Mădălina Borcă, Alexandru Borcă, </w:t>
      </w:r>
      <w:r w:rsidRPr="00627BA5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Romila</w:t>
      </w:r>
      <w:r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*</w:t>
      </w:r>
      <w:r w:rsidRPr="00627BA5">
        <w:rPr>
          <w:rFonts w:asciiTheme="majorHAnsi" w:hAnsiTheme="majorHAnsi" w:cs="Arial"/>
          <w:color w:val="auto"/>
          <w:sz w:val="24"/>
          <w:lang w:val="ro-RO"/>
        </w:rPr>
        <w:t>, Alin Ciobica, Ioannis Mavroudis, Mihoko Tomida, Alin Iordache, Antoneta Dacia Petroaie, Norina Forna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. </w:t>
      </w:r>
      <w:r w:rsidRPr="00627BA5">
        <w:rPr>
          <w:rFonts w:asciiTheme="majorHAnsi" w:hAnsiTheme="majorHAnsi" w:cs="Arial"/>
          <w:color w:val="auto"/>
          <w:sz w:val="24"/>
          <w:lang w:val="ro-RO"/>
        </w:rPr>
        <w:t>Antioxidant effects of medicinal plants with applicability in oro-dental medicine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. </w:t>
      </w:r>
      <w:r w:rsidRPr="00627BA5">
        <w:rPr>
          <w:rFonts w:asciiTheme="majorHAnsi" w:hAnsiTheme="majorHAnsi" w:cs="Arial"/>
          <w:color w:val="auto"/>
          <w:sz w:val="24"/>
          <w:lang w:val="ro-RO"/>
        </w:rPr>
        <w:t>Romanian Journal of Oral Rehabilitation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. 2024;16(2):307-325. </w:t>
      </w:r>
      <w:r w:rsidRPr="00627BA5">
        <w:rPr>
          <w:rFonts w:asciiTheme="majorHAnsi" w:hAnsiTheme="majorHAnsi" w:cs="Arial"/>
          <w:b/>
          <w:color w:val="auto"/>
          <w:sz w:val="24"/>
          <w:lang w:val="ro-RO"/>
        </w:rPr>
        <w:t>IF=0.7</w:t>
      </w:r>
    </w:p>
    <w:p w:rsidR="006F399A" w:rsidRPr="00BF778A" w:rsidRDefault="00816884" w:rsidP="00BF778A">
      <w:pPr>
        <w:pStyle w:val="ECVSectionDetails"/>
        <w:numPr>
          <w:ilvl w:val="0"/>
          <w:numId w:val="2"/>
        </w:numPr>
        <w:tabs>
          <w:tab w:val="left" w:pos="284"/>
          <w:tab w:val="left" w:pos="2790"/>
        </w:tabs>
        <w:spacing w:before="0"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 xml:space="preserve">Laura </w:t>
      </w:r>
      <w:r w:rsidR="006F399A"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Romila,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Liliana </w:t>
      </w:r>
      <w:r>
        <w:rPr>
          <w:rFonts w:asciiTheme="majorHAnsi" w:hAnsiTheme="majorHAnsi" w:cs="Arial"/>
          <w:color w:val="auto"/>
          <w:sz w:val="24"/>
          <w:lang w:val="ro-RO"/>
        </w:rPr>
        <w:t>Sachelarie,</w:t>
      </w:r>
      <w:r w:rsidR="006F399A" w:rsidRPr="00BF778A"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Calin </w:t>
      </w:r>
      <w:r w:rsidR="006F399A" w:rsidRPr="00BF778A">
        <w:rPr>
          <w:rFonts w:asciiTheme="majorHAnsi" w:hAnsiTheme="majorHAnsi" w:cs="Arial"/>
          <w:color w:val="auto"/>
          <w:sz w:val="24"/>
          <w:lang w:val="ro-RO"/>
        </w:rPr>
        <w:t xml:space="preserve">Magheru,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Diana </w:t>
      </w:r>
      <w:r w:rsidR="006F399A" w:rsidRPr="00BF778A">
        <w:rPr>
          <w:rFonts w:asciiTheme="majorHAnsi" w:hAnsiTheme="majorHAnsi" w:cs="Arial"/>
          <w:color w:val="auto"/>
          <w:sz w:val="24"/>
          <w:lang w:val="ro-RO"/>
        </w:rPr>
        <w:t>Gheban,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Dorina </w:t>
      </w:r>
      <w:r w:rsidR="006F399A" w:rsidRPr="00BF778A">
        <w:rPr>
          <w:rFonts w:asciiTheme="majorHAnsi" w:hAnsiTheme="majorHAnsi" w:cs="Arial"/>
          <w:color w:val="auto"/>
          <w:sz w:val="24"/>
          <w:lang w:val="ro-RO"/>
        </w:rPr>
        <w:t xml:space="preserve">Farcas,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Radu Mircea Sireteanu </w:t>
      </w:r>
      <w:r w:rsidR="006F399A" w:rsidRPr="00BF778A">
        <w:rPr>
          <w:rFonts w:asciiTheme="majorHAnsi" w:hAnsiTheme="majorHAnsi" w:cs="Arial"/>
          <w:color w:val="auto"/>
          <w:sz w:val="24"/>
          <w:lang w:val="ro-RO"/>
        </w:rPr>
        <w:t>Cucui,</w:t>
      </w:r>
      <w:r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Alexandra </w:t>
      </w:r>
      <w:r>
        <w:rPr>
          <w:rFonts w:asciiTheme="majorHAnsi" w:hAnsiTheme="majorHAnsi" w:cs="Arial"/>
          <w:color w:val="auto"/>
          <w:sz w:val="24"/>
          <w:lang w:val="ro-RO"/>
        </w:rPr>
        <w:t>Burlui</w:t>
      </w:r>
      <w:r w:rsidR="006F399A" w:rsidRPr="00BF778A">
        <w:rPr>
          <w:rFonts w:asciiTheme="majorHAnsi" w:hAnsiTheme="majorHAnsi" w:cs="Arial"/>
          <w:color w:val="auto"/>
          <w:sz w:val="24"/>
          <w:lang w:val="ro-RO"/>
        </w:rPr>
        <w:t>. Carpal tunnel syndrome in dentistry. a comparative study of the efficiency of kinetotherapy procedures. International Journal of Medical Dentistry. 2022; 26(4): 547-550.</w:t>
      </w:r>
      <w:r w:rsidR="00A110E5" w:rsidRPr="00A110E5">
        <w:rPr>
          <w:rFonts w:asciiTheme="majorHAnsi" w:hAnsiTheme="majorHAnsi" w:cs="Arial"/>
          <w:b/>
          <w:color w:val="auto"/>
          <w:sz w:val="24"/>
          <w:lang w:val="ro-RO"/>
        </w:rPr>
        <w:t xml:space="preserve"> </w:t>
      </w:r>
      <w:r w:rsidR="00A110E5" w:rsidRPr="00627BA5">
        <w:rPr>
          <w:rFonts w:asciiTheme="majorHAnsi" w:hAnsiTheme="majorHAnsi" w:cs="Arial"/>
          <w:b/>
          <w:color w:val="auto"/>
          <w:sz w:val="24"/>
          <w:lang w:val="ro-RO"/>
        </w:rPr>
        <w:t>IF=0</w:t>
      </w:r>
    </w:p>
    <w:p w:rsidR="006F399A" w:rsidRPr="00BF778A" w:rsidRDefault="006F399A" w:rsidP="00BF778A">
      <w:pPr>
        <w:pStyle w:val="ECVSectionDetails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Romila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, Liliana Sachelarie, Alexandra Burlui, Mihaela Vasiliu, Dorina Maria Farcaș, The salivary factors and dental erosion, International Journal of Medical Dentistry. 2019;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lastRenderedPageBreak/>
        <w:t>24(1): 23-27.</w:t>
      </w:r>
      <w:r w:rsidR="00A110E5" w:rsidRPr="00A110E5">
        <w:rPr>
          <w:rFonts w:asciiTheme="majorHAnsi" w:hAnsiTheme="majorHAnsi" w:cs="Arial"/>
          <w:b/>
          <w:color w:val="auto"/>
          <w:sz w:val="24"/>
          <w:lang w:val="ro-RO"/>
        </w:rPr>
        <w:t xml:space="preserve"> </w:t>
      </w:r>
      <w:r w:rsidR="00A110E5" w:rsidRPr="00627BA5">
        <w:rPr>
          <w:rFonts w:asciiTheme="majorHAnsi" w:hAnsiTheme="majorHAnsi" w:cs="Arial"/>
          <w:b/>
          <w:color w:val="auto"/>
          <w:sz w:val="24"/>
          <w:lang w:val="ro-RO"/>
        </w:rPr>
        <w:t>IF=0</w:t>
      </w:r>
    </w:p>
    <w:p w:rsidR="006F399A" w:rsidRPr="00BF778A" w:rsidRDefault="006F399A" w:rsidP="00BF778A">
      <w:pPr>
        <w:pStyle w:val="ECVSectionDetails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  <w:rPr>
          <w:rFonts w:asciiTheme="majorHAnsi" w:hAnsiTheme="majorHAnsi" w:cs="Arial"/>
          <w:b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Liliana Sachelarie, Mihaela Păpușa Vasiliu, </w:t>
      </w: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Ecaterina Dârțu*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>, Oana Maria Darabă, Maria Pușa Farcaș,  Charged air – borne particles as indicators of atmospheric pollution and their relation to the health of local population in three romanian cities, Environmental Engineering and M</w:t>
      </w:r>
      <w:r w:rsidR="00A110E5">
        <w:rPr>
          <w:rFonts w:asciiTheme="majorHAnsi" w:hAnsiTheme="majorHAnsi" w:cs="Arial"/>
          <w:color w:val="auto"/>
          <w:sz w:val="24"/>
          <w:lang w:val="ro-RO"/>
        </w:rPr>
        <w:t>anagement Journal. 2019;18(2):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>447-454</w:t>
      </w:r>
      <w:r w:rsidR="00A110E5">
        <w:rPr>
          <w:rFonts w:asciiTheme="majorHAnsi" w:hAnsiTheme="majorHAnsi" w:cs="Arial"/>
          <w:color w:val="auto"/>
          <w:sz w:val="24"/>
          <w:lang w:val="ro-RO"/>
        </w:rPr>
        <w:t xml:space="preserve">. </w:t>
      </w:r>
      <w:r w:rsidR="00A110E5">
        <w:rPr>
          <w:rFonts w:asciiTheme="majorHAnsi" w:hAnsiTheme="majorHAnsi" w:cs="Arial"/>
          <w:b/>
          <w:color w:val="auto"/>
          <w:sz w:val="24"/>
          <w:lang w:val="ro-RO"/>
        </w:rPr>
        <w:t>IF = 1.065</w:t>
      </w:r>
    </w:p>
    <w:p w:rsidR="006F399A" w:rsidRPr="00BF778A" w:rsidRDefault="006F399A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before="0"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Romila,</w:t>
      </w:r>
      <w:r w:rsidRPr="00BF778A">
        <w:rPr>
          <w:rFonts w:asciiTheme="majorHAnsi" w:hAnsiTheme="majorHAnsi" w:cs="Arial"/>
          <w:b/>
          <w:color w:val="auto"/>
          <w:sz w:val="24"/>
          <w:lang w:val="ro-RO"/>
        </w:rPr>
        <w:t xml:space="preserve">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>Liliana Sachelarie, Mihaela Vasiliu, Cătălin Iov,Agripina Zaharia, Nicolae-Tiberiu Popârlan, Alexandra Burlui. Applications of plasma in medicine, International Journal of Medical Dentistry. 2018; 22(4): 351-357.</w:t>
      </w:r>
      <w:r w:rsidR="00A110E5">
        <w:rPr>
          <w:rFonts w:asciiTheme="majorHAnsi" w:hAnsiTheme="majorHAnsi" w:cs="Arial"/>
          <w:color w:val="auto"/>
          <w:sz w:val="24"/>
          <w:lang w:val="ro-RO"/>
        </w:rPr>
        <w:t xml:space="preserve"> </w:t>
      </w:r>
      <w:r w:rsidR="00A110E5" w:rsidRPr="00627BA5">
        <w:rPr>
          <w:rFonts w:asciiTheme="majorHAnsi" w:hAnsiTheme="majorHAnsi" w:cs="Arial"/>
          <w:b/>
          <w:color w:val="auto"/>
          <w:sz w:val="24"/>
          <w:lang w:val="ro-RO"/>
        </w:rPr>
        <w:t>IF=0</w:t>
      </w:r>
    </w:p>
    <w:p w:rsidR="006F399A" w:rsidRPr="00044B18" w:rsidRDefault="006F399A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before="0" w:line="360" w:lineRule="auto"/>
        <w:ind w:left="0" w:firstLine="0"/>
        <w:jc w:val="both"/>
        <w:rPr>
          <w:rFonts w:asciiTheme="majorHAnsi" w:hAnsiTheme="majorHAnsi" w:cs="Arial"/>
          <w:color w:val="auto"/>
          <w:sz w:val="24"/>
          <w:lang w:val="ro-RO"/>
        </w:rPr>
      </w:pPr>
      <w:r w:rsidRPr="00BF778A">
        <w:rPr>
          <w:rFonts w:asciiTheme="majorHAnsi" w:hAnsiTheme="majorHAnsi" w:cs="Arial"/>
          <w:b/>
          <w:color w:val="auto"/>
          <w:sz w:val="24"/>
          <w:u w:val="single"/>
          <w:lang w:val="ro-RO"/>
        </w:rPr>
        <w:t>Laura Dartu</w:t>
      </w:r>
      <w:r w:rsidRPr="00BF778A">
        <w:rPr>
          <w:rFonts w:asciiTheme="majorHAnsi" w:hAnsiTheme="majorHAnsi" w:cs="Arial"/>
          <w:b/>
          <w:color w:val="auto"/>
          <w:sz w:val="24"/>
          <w:lang w:val="ro-RO"/>
        </w:rPr>
        <w:t xml:space="preserve">, 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>Carmen Zaharia, Gabriela Carja, Application of new synthesized materials based on anionic clays for industrial effluent decoloration</w:t>
      </w:r>
      <w:r w:rsidR="00BF778A" w:rsidRPr="00BF778A">
        <w:rPr>
          <w:rFonts w:asciiTheme="majorHAnsi" w:hAnsiTheme="majorHAnsi" w:cs="Arial"/>
          <w:color w:val="auto"/>
          <w:sz w:val="24"/>
          <w:lang w:val="ro-RO"/>
        </w:rPr>
        <w:t>, Advanced Materials Research.</w:t>
      </w:r>
      <w:r w:rsidRPr="00BF778A">
        <w:rPr>
          <w:rFonts w:asciiTheme="majorHAnsi" w:hAnsiTheme="majorHAnsi" w:cs="Arial"/>
          <w:color w:val="auto"/>
          <w:sz w:val="24"/>
          <w:lang w:val="ro-RO"/>
        </w:rPr>
        <w:t xml:space="preserve">2014;837:271-276. </w:t>
      </w:r>
      <w:r w:rsidR="00A110E5" w:rsidRPr="00627BA5">
        <w:rPr>
          <w:rFonts w:asciiTheme="majorHAnsi" w:hAnsiTheme="majorHAnsi" w:cs="Arial"/>
          <w:b/>
          <w:color w:val="auto"/>
          <w:sz w:val="24"/>
          <w:lang w:val="ro-RO"/>
        </w:rPr>
        <w:t>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>
        <w:rPr>
          <w:rFonts w:ascii="Cambria" w:hAnsi="Cambria" w:cs="Arial"/>
          <w:color w:val="auto"/>
          <w:sz w:val="24"/>
          <w:lang w:val="ro-RO"/>
        </w:rPr>
        <w:t xml:space="preserve">Sorina Magheru, Calin Magheru, Florin Maghiar, Liliana Sachelarie, Felicia Marc, Corina Maria Moldovan,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Romila</w:t>
      </w:r>
      <w:r>
        <w:rPr>
          <w:rFonts w:ascii="Cambria" w:hAnsi="Cambria" w:cs="Arial"/>
          <w:color w:val="auto"/>
          <w:sz w:val="24"/>
          <w:lang w:val="ro-RO"/>
        </w:rPr>
        <w:t>, Anica Hoza, Dorina Maria Farcas, Irina Gradinaru, Loredana Liliana Hurjui</w:t>
      </w:r>
      <w:r w:rsidRPr="00D51010">
        <w:rPr>
          <w:rFonts w:ascii="Cambria" w:hAnsi="Cambria" w:cs="Arial"/>
          <w:color w:val="auto"/>
          <w:sz w:val="24"/>
          <w:lang w:val="ro-RO"/>
        </w:rPr>
        <w:t>. Correlation between Carbonic Anhydrase Isozymes and the Evolution of Myocardial Infarction in Diabetic Patients. Biology (Basel). 2022;11(8):1189.</w:t>
      </w:r>
      <w:r>
        <w:rPr>
          <w:rFonts w:ascii="Cambria" w:hAnsi="Cambria" w:cs="Arial"/>
          <w:color w:val="auto"/>
          <w:sz w:val="24"/>
          <w:lang w:val="ro-RO"/>
        </w:rPr>
        <w:t xml:space="preserve">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 = 4.2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</w:rPr>
        <w:t xml:space="preserve">Cristina </w:t>
      </w:r>
      <w:proofErr w:type="spellStart"/>
      <w:r w:rsidRPr="00D51010">
        <w:rPr>
          <w:rFonts w:ascii="Cambria" w:hAnsi="Cambria" w:cs="Arial"/>
          <w:color w:val="auto"/>
          <w:sz w:val="24"/>
        </w:rPr>
        <w:t>Preda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Delia </w:t>
      </w:r>
      <w:proofErr w:type="spellStart"/>
      <w:r w:rsidRPr="00D51010">
        <w:rPr>
          <w:rFonts w:ascii="Cambria" w:hAnsi="Cambria" w:cs="Arial"/>
          <w:color w:val="auto"/>
          <w:sz w:val="24"/>
        </w:rPr>
        <w:t>Bahrim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Maria-Christina </w:t>
      </w:r>
      <w:proofErr w:type="spellStart"/>
      <w:r w:rsidRPr="00D51010">
        <w:rPr>
          <w:rFonts w:ascii="Cambria" w:hAnsi="Cambria" w:cs="Arial"/>
          <w:color w:val="auto"/>
          <w:sz w:val="24"/>
        </w:rPr>
        <w:t>Ungureanu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Laura </w:t>
      </w:r>
      <w:proofErr w:type="spellStart"/>
      <w:r w:rsidRPr="00D51010">
        <w:rPr>
          <w:rFonts w:ascii="Cambria" w:hAnsi="Cambria" w:cs="Arial"/>
          <w:color w:val="auto"/>
          <w:sz w:val="24"/>
        </w:rPr>
        <w:t>Teodoriu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D51010">
        <w:rPr>
          <w:rFonts w:ascii="Cambria" w:hAnsi="Cambria" w:cs="Arial"/>
          <w:color w:val="auto"/>
          <w:sz w:val="24"/>
        </w:rPr>
        <w:t>Liliana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 Gabriela </w:t>
      </w:r>
      <w:proofErr w:type="spellStart"/>
      <w:r w:rsidRPr="00D51010">
        <w:rPr>
          <w:rFonts w:ascii="Cambria" w:hAnsi="Cambria" w:cs="Arial"/>
          <w:color w:val="auto"/>
          <w:sz w:val="24"/>
        </w:rPr>
        <w:t>Halițchi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Carmen </w:t>
      </w:r>
      <w:proofErr w:type="spellStart"/>
      <w:r w:rsidRPr="00D51010">
        <w:rPr>
          <w:rFonts w:ascii="Cambria" w:hAnsi="Cambria" w:cs="Arial"/>
          <w:color w:val="auto"/>
          <w:sz w:val="24"/>
        </w:rPr>
        <w:t>Stadoleanu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r w:rsidRPr="00D51010">
        <w:rPr>
          <w:rFonts w:ascii="Cambria" w:hAnsi="Cambria" w:cs="Arial"/>
          <w:b/>
          <w:color w:val="auto"/>
          <w:sz w:val="24"/>
          <w:u w:val="single"/>
        </w:rPr>
        <w:t xml:space="preserve">Laura </w:t>
      </w:r>
      <w:proofErr w:type="spellStart"/>
      <w:r w:rsidRPr="00D51010">
        <w:rPr>
          <w:rFonts w:ascii="Cambria" w:hAnsi="Cambria" w:cs="Arial"/>
          <w:b/>
          <w:color w:val="auto"/>
          <w:sz w:val="24"/>
          <w:u w:val="single"/>
        </w:rPr>
        <w:t>Romila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D51010">
        <w:rPr>
          <w:rFonts w:ascii="Cambria" w:hAnsi="Cambria" w:cs="Arial"/>
          <w:color w:val="auto"/>
          <w:sz w:val="24"/>
        </w:rPr>
        <w:t>Oana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 Maria </w:t>
      </w:r>
      <w:proofErr w:type="spellStart"/>
      <w:r w:rsidRPr="00D51010">
        <w:rPr>
          <w:rFonts w:ascii="Cambria" w:hAnsi="Cambria" w:cs="Arial"/>
          <w:color w:val="auto"/>
          <w:sz w:val="24"/>
        </w:rPr>
        <w:t>Darabă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. Craniofacial and dental characteristics of children with growth hormone deficiency and idiopathic short stature. is the </w:t>
      </w:r>
      <w:proofErr w:type="spellStart"/>
      <w:r w:rsidRPr="00D51010">
        <w:rPr>
          <w:rFonts w:ascii="Cambria" w:hAnsi="Cambria" w:cs="Arial"/>
          <w:color w:val="auto"/>
          <w:sz w:val="24"/>
        </w:rPr>
        <w:t>gh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 treatment beneficial?</w:t>
      </w:r>
      <w:r w:rsidRPr="00D51010">
        <w:rPr>
          <w:rFonts w:ascii="Cambria" w:hAnsi="Cambria" w:cs="Arial"/>
          <w:color w:val="auto"/>
          <w:sz w:val="24"/>
          <w:lang w:val="en-US"/>
        </w:rPr>
        <w:t xml:space="preserve"> International Journal of Medical Dentistry</w:t>
      </w:r>
      <w:r>
        <w:rPr>
          <w:rFonts w:ascii="Cambria" w:hAnsi="Cambria" w:cs="Arial"/>
          <w:color w:val="auto"/>
          <w:sz w:val="24"/>
          <w:lang w:val="ro-RO"/>
        </w:rPr>
        <w:t>. 2022;26(1):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66-73.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Oana Cucoveică,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Romila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Oana Maria Darabă, Ovidiu Virgil Stadoleanu, Daniela Luminița Ichim, Corina Andriescu, Doina Spaiuc, Leonard Ionuț Atanase. Engineering of antimicrobial nanoemulsion based on essential oils with oral biomedical application. </w:t>
      </w:r>
      <w:r w:rsidRPr="00D51010">
        <w:rPr>
          <w:rFonts w:ascii="Cambria" w:hAnsi="Cambria" w:cs="Arial"/>
          <w:color w:val="auto"/>
          <w:sz w:val="24"/>
          <w:lang w:val="en-US"/>
        </w:rPr>
        <w:t>International Journal of Medical Dentistry</w:t>
      </w:r>
      <w:r>
        <w:rPr>
          <w:rFonts w:ascii="Cambria" w:hAnsi="Cambria" w:cs="Arial"/>
          <w:color w:val="auto"/>
          <w:sz w:val="24"/>
          <w:lang w:val="ro-RO"/>
        </w:rPr>
        <w:t>. 2022;26(1):</w:t>
      </w:r>
      <w:r w:rsidRPr="00D51010">
        <w:rPr>
          <w:rFonts w:ascii="Cambria" w:hAnsi="Cambria" w:cs="Arial"/>
          <w:color w:val="auto"/>
          <w:sz w:val="24"/>
          <w:lang w:val="ro-RO"/>
        </w:rPr>
        <w:t>16-29.</w:t>
      </w:r>
      <w:r w:rsidRPr="00D51010">
        <w:rPr>
          <w:rFonts w:ascii="Cambria" w:hAnsi="Cambria"/>
          <w:sz w:val="24"/>
        </w:rPr>
        <w:t xml:space="preserve">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>Delia Mihae</w:t>
      </w:r>
      <w:r>
        <w:rPr>
          <w:rFonts w:ascii="Cambria" w:hAnsi="Cambria" w:cs="Arial"/>
          <w:color w:val="auto"/>
          <w:sz w:val="24"/>
          <w:lang w:val="ro-RO"/>
        </w:rPr>
        <w:t>la Rata, Anca Niculina Cadinoiu</w:t>
      </w:r>
      <w:r w:rsidRPr="00D51010">
        <w:rPr>
          <w:rFonts w:ascii="Cambria" w:hAnsi="Cambria" w:cs="Arial"/>
          <w:color w:val="auto"/>
          <w:sz w:val="24"/>
          <w:lang w:val="ro-RO"/>
        </w:rPr>
        <w:t>,</w:t>
      </w:r>
      <w:r>
        <w:rPr>
          <w:rFonts w:ascii="Cambria" w:hAnsi="Cambria" w:cs="Arial"/>
          <w:color w:val="auto"/>
          <w:sz w:val="24"/>
          <w:lang w:val="ro-RO"/>
        </w:rPr>
        <w:t xml:space="preserve"> 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Marcel Popa, Leonard Ionut Atanase, Oana Maria Daraba, Irina Popescu,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Ecaterina Romila</w:t>
      </w:r>
      <w:r w:rsidRPr="00D51010">
        <w:rPr>
          <w:rFonts w:ascii="Cambria" w:hAnsi="Cambria" w:cs="Arial"/>
          <w:color w:val="auto"/>
          <w:sz w:val="24"/>
          <w:lang w:val="ro-RO"/>
        </w:rPr>
        <w:t>, Daniela Luminita Ichim. Biocomposite Hydrogels for the Treatment of Bacterial Infections: Physicochemical Characterization and In Vitro A</w:t>
      </w:r>
      <w:r>
        <w:rPr>
          <w:rFonts w:ascii="Cambria" w:hAnsi="Cambria" w:cs="Arial"/>
          <w:color w:val="auto"/>
          <w:sz w:val="24"/>
          <w:lang w:val="ro-RO"/>
        </w:rPr>
        <w:t>ssessment. Pharmaceutics. 2021;13(12):</w:t>
      </w:r>
      <w:r w:rsidRPr="00D51010">
        <w:rPr>
          <w:rFonts w:ascii="Cambria" w:hAnsi="Cambria" w:cs="Arial"/>
          <w:color w:val="auto"/>
          <w:sz w:val="24"/>
          <w:lang w:val="ro-RO"/>
        </w:rPr>
        <w:t>2079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. IF = 6.321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>Letiţia-Doina Duceac, Lucian Eva, Marius Dabija, Tudor Ciuhodaru, Cristian Guţu,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Romila,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 Smaranda Nazarie. </w:t>
      </w:r>
      <w:r w:rsidRPr="00D51010">
        <w:rPr>
          <w:rFonts w:ascii="Cambria" w:hAnsi="Cambria" w:cs="Arial"/>
          <w:color w:val="auto"/>
          <w:sz w:val="24"/>
        </w:rPr>
        <w:t xml:space="preserve"> 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Prevention and limitation of coronavirus sars-cov-2 cases in hospitals and dental medicine offices. </w:t>
      </w:r>
      <w:r w:rsidRPr="00D51010">
        <w:rPr>
          <w:rFonts w:ascii="Cambria" w:hAnsi="Cambria" w:cs="Arial"/>
          <w:color w:val="auto"/>
          <w:sz w:val="24"/>
          <w:lang w:val="en-US"/>
        </w:rPr>
        <w:t>International Journal of Medical Dentistry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. 2020; 24(2): 149-156.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Farcas, Dorina Maria, Sachelarie, Liliana,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 xml:space="preserve">Romila, Laura, 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Burlui, Alexandra,  Suteu, Corina.  The correlation between low bone density and periodontal disease. </w:t>
      </w:r>
      <w:r w:rsidRPr="00D51010">
        <w:rPr>
          <w:rFonts w:ascii="Cambria" w:hAnsi="Cambria" w:cs="Arial"/>
          <w:color w:val="auto"/>
          <w:sz w:val="24"/>
          <w:lang w:val="en-US"/>
        </w:rPr>
        <w:t>International Jour</w:t>
      </w:r>
      <w:r>
        <w:rPr>
          <w:rFonts w:ascii="Cambria" w:hAnsi="Cambria" w:cs="Arial"/>
          <w:color w:val="auto"/>
          <w:sz w:val="24"/>
          <w:lang w:val="en-US"/>
        </w:rPr>
        <w:t>nal of Medical Dentistry. 2019;</w:t>
      </w:r>
      <w:r w:rsidRPr="00D51010">
        <w:rPr>
          <w:rFonts w:ascii="Cambria" w:hAnsi="Cambria" w:cs="Arial"/>
          <w:color w:val="auto"/>
          <w:sz w:val="24"/>
          <w:lang w:val="en-US"/>
        </w:rPr>
        <w:t>23(4):537-540.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Farcas, Dorina Maria, Sachelarie, Liliana,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Romila, Laura Ecaterina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 Burlui, Alexandra; </w:t>
      </w:r>
      <w:r w:rsidRPr="00D51010">
        <w:rPr>
          <w:rFonts w:ascii="Cambria" w:hAnsi="Cambria" w:cs="Arial"/>
          <w:color w:val="auto"/>
          <w:sz w:val="24"/>
          <w:lang w:val="ro-RO"/>
        </w:rPr>
        <w:lastRenderedPageBreak/>
        <w:t xml:space="preserve">Suteu, Corina. The importance of support group in improving the quality of life and well being in patients with osteoporosis. </w:t>
      </w:r>
      <w:r w:rsidRPr="00D51010">
        <w:rPr>
          <w:rFonts w:ascii="Cambria" w:hAnsi="Cambria" w:cs="Arial"/>
          <w:color w:val="auto"/>
          <w:sz w:val="24"/>
          <w:lang w:val="en-US"/>
        </w:rPr>
        <w:t>International Journal of Medical Dentistry</w:t>
      </w:r>
      <w:r w:rsidRPr="00D51010">
        <w:rPr>
          <w:rFonts w:ascii="Cambria" w:hAnsi="Cambria" w:cs="Arial"/>
          <w:color w:val="auto"/>
          <w:sz w:val="24"/>
          <w:lang w:val="ro-RO"/>
        </w:rPr>
        <w:t>. 2</w:t>
      </w:r>
      <w:r>
        <w:rPr>
          <w:rFonts w:ascii="Cambria" w:hAnsi="Cambria" w:cs="Arial"/>
          <w:color w:val="auto"/>
          <w:sz w:val="24"/>
          <w:lang w:val="ro-RO"/>
        </w:rPr>
        <w:t>019;23(3):</w:t>
      </w:r>
      <w:r w:rsidRPr="00D51010">
        <w:rPr>
          <w:rFonts w:ascii="Cambria" w:hAnsi="Cambria" w:cs="Arial"/>
          <w:color w:val="auto"/>
          <w:sz w:val="24"/>
          <w:lang w:val="ro-RO"/>
        </w:rPr>
        <w:t>359-364.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b/>
          <w:color w:val="auto"/>
          <w:sz w:val="24"/>
          <w:u w:val="single"/>
          <w:lang w:val="en-US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Cornelia Ursu, Diana Gheban,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Romila,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 Daniela Tomiţa, Nasal obstruction is more than a clinical reality, International Journal of Medical Dentistry. 2019; 23(2): 194-200.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Alexandra Burlui, Liliana Sachelarie,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Ecaterina Romila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,Dorina Maria Farcaş, Achievement of dental implant in patients with osteoporosis, International Journal of </w:t>
      </w:r>
      <w:r>
        <w:rPr>
          <w:rFonts w:ascii="Cambria" w:hAnsi="Cambria" w:cs="Arial"/>
          <w:color w:val="auto"/>
          <w:sz w:val="24"/>
          <w:lang w:val="ro-RO"/>
        </w:rPr>
        <w:t>Medical Dentistry. 2019:23(1):</w:t>
      </w:r>
      <w:r w:rsidRPr="00D51010">
        <w:rPr>
          <w:rFonts w:ascii="Cambria" w:hAnsi="Cambria" w:cs="Arial"/>
          <w:color w:val="auto"/>
          <w:sz w:val="24"/>
          <w:lang w:val="ro-RO"/>
        </w:rPr>
        <w:t>134-137.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Magdalena Aflori, Maria Spiridon, Maria Butnaru, Mihaela Mândru,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Romila</w:t>
      </w:r>
      <w:r w:rsidRPr="00D51010">
        <w:rPr>
          <w:rFonts w:ascii="Cambria" w:hAnsi="Cambria" w:cs="Arial"/>
          <w:color w:val="auto"/>
          <w:sz w:val="24"/>
          <w:lang w:val="ro-RO"/>
        </w:rPr>
        <w:t>, Oana Darabă, Alexandra Burlui, Chitosan-based bionanocomposite for transdermal therapy, International Jour</w:t>
      </w:r>
      <w:r>
        <w:rPr>
          <w:rFonts w:ascii="Cambria" w:hAnsi="Cambria" w:cs="Arial"/>
          <w:color w:val="auto"/>
          <w:sz w:val="24"/>
          <w:lang w:val="ro-RO"/>
        </w:rPr>
        <w:t>nal of Medical Dentistry. 2019;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23(1):40-45.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Letiția-Doina Duceac, Liviu Stafie, Ioana Păvăleanu, Geta Mitrea, Ginel Baciu, Elena Ariela Banu,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Romila</w:t>
      </w:r>
      <w:r w:rsidRPr="00D51010">
        <w:rPr>
          <w:rFonts w:ascii="Cambria" w:hAnsi="Cambria" w:cs="Arial"/>
          <w:color w:val="auto"/>
          <w:sz w:val="24"/>
          <w:lang w:val="ro-RO"/>
        </w:rPr>
        <w:t>, Alina-Costina Luca, Sepsis in paediatrics - a special form of infection associated to medical assistance, International Journal of Medical Dentistry. 2018; 22(3): 229-235.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Andreea Petrovits, Paula Perlea, Alexandru Andrei Iliescu, Septimiu Suciu,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Romila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Andrei Iliescu, First upper molar with a particular internal anatomy of the mesiobuccal and palatal roots. a rare case report, International Journal of Medical Dentistry. 2018; 22(3): 247-252. 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proofErr w:type="spellStart"/>
      <w:r w:rsidRPr="00D51010">
        <w:rPr>
          <w:rFonts w:ascii="Cambria" w:hAnsi="Cambria" w:cs="Arial"/>
          <w:color w:val="auto"/>
          <w:sz w:val="24"/>
        </w:rPr>
        <w:t>Mihai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D51010">
        <w:rPr>
          <w:rFonts w:ascii="Cambria" w:hAnsi="Cambria" w:cs="Arial"/>
          <w:color w:val="auto"/>
          <w:sz w:val="24"/>
        </w:rPr>
        <w:t>Luchian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D51010">
        <w:rPr>
          <w:rFonts w:ascii="Cambria" w:hAnsi="Cambria" w:cs="Arial"/>
          <w:color w:val="auto"/>
          <w:sz w:val="24"/>
        </w:rPr>
        <w:t>Dumitru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D51010">
        <w:rPr>
          <w:rFonts w:ascii="Cambria" w:hAnsi="Cambria" w:cs="Arial"/>
          <w:color w:val="auto"/>
          <w:sz w:val="24"/>
        </w:rPr>
        <w:t>Popa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Dan </w:t>
      </w:r>
      <w:proofErr w:type="spellStart"/>
      <w:r w:rsidRPr="00D51010">
        <w:rPr>
          <w:rFonts w:ascii="Cambria" w:hAnsi="Cambria" w:cs="Arial"/>
          <w:color w:val="auto"/>
          <w:sz w:val="24"/>
        </w:rPr>
        <w:t>Sîmbotin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D51010">
        <w:rPr>
          <w:rFonts w:ascii="Cambria" w:hAnsi="Cambria" w:cs="Arial"/>
          <w:color w:val="auto"/>
          <w:sz w:val="24"/>
        </w:rPr>
        <w:t>Cătălin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D51010">
        <w:rPr>
          <w:rFonts w:ascii="Cambria" w:hAnsi="Cambria" w:cs="Arial"/>
          <w:color w:val="auto"/>
          <w:sz w:val="24"/>
        </w:rPr>
        <w:t>Iov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r w:rsidRPr="00D51010">
        <w:rPr>
          <w:rFonts w:ascii="Cambria" w:hAnsi="Cambria" w:cs="Arial"/>
          <w:b/>
          <w:color w:val="auto"/>
          <w:sz w:val="24"/>
        </w:rPr>
        <w:t xml:space="preserve">Laura </w:t>
      </w:r>
      <w:proofErr w:type="spellStart"/>
      <w:r w:rsidRPr="00D51010">
        <w:rPr>
          <w:rFonts w:ascii="Cambria" w:hAnsi="Cambria" w:cs="Arial"/>
          <w:b/>
          <w:color w:val="auto"/>
          <w:sz w:val="24"/>
        </w:rPr>
        <w:t>Romila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proofErr w:type="spellStart"/>
      <w:r w:rsidRPr="00D51010">
        <w:rPr>
          <w:rFonts w:ascii="Cambria" w:hAnsi="Cambria" w:cs="Arial"/>
          <w:color w:val="auto"/>
          <w:sz w:val="24"/>
        </w:rPr>
        <w:t>Agripina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D51010">
        <w:rPr>
          <w:rFonts w:ascii="Cambria" w:hAnsi="Cambria" w:cs="Arial"/>
          <w:color w:val="auto"/>
          <w:sz w:val="24"/>
        </w:rPr>
        <w:t>Zaharia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The consonant relation between the performance of the health system and the quality of communication, </w:t>
      </w:r>
      <w:r w:rsidRPr="00D51010">
        <w:rPr>
          <w:rFonts w:ascii="Cambria" w:hAnsi="Cambria" w:cs="Arial"/>
          <w:color w:val="auto"/>
          <w:sz w:val="24"/>
          <w:lang w:val="ro-RO"/>
        </w:rPr>
        <w:t>International Journal of Medical Dentistry. 2017: 21(1):42-48.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Daniela Luminiţa Ichim, Cristina Morariu, Oana Maria Darabă,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Romila</w:t>
      </w:r>
      <w:r w:rsidRPr="00D51010">
        <w:rPr>
          <w:rFonts w:ascii="Cambria" w:hAnsi="Cambria" w:cs="Arial"/>
          <w:color w:val="auto"/>
          <w:sz w:val="24"/>
          <w:lang w:val="ro-RO"/>
        </w:rPr>
        <w:t>, Carmen Stadoleanu, Vasile Burlui, The reliability criterion in microbiological diagnosis, International Journal of Medical Dentistry. 2017; 21(2):98-101.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Mihaela Papusa Vasiliu,  Liliana Sachelarie,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Ecaterina Romila,</w:t>
      </w:r>
      <w:r w:rsidRPr="00371F43">
        <w:rPr>
          <w:rFonts w:ascii="Cambria" w:hAnsi="Cambria" w:cs="Arial"/>
          <w:b/>
          <w:color w:val="auto"/>
          <w:sz w:val="24"/>
          <w:lang w:val="ro-RO"/>
        </w:rPr>
        <w:t xml:space="preserve"> </w:t>
      </w:r>
      <w:r w:rsidRPr="00D51010">
        <w:rPr>
          <w:rFonts w:ascii="Cambria" w:hAnsi="Cambria" w:cs="Arial"/>
          <w:color w:val="auto"/>
          <w:sz w:val="24"/>
          <w:lang w:val="ro-RO"/>
        </w:rPr>
        <w:t>Ardeshir Shardi, Carmen Stadoleanu, Daniela Ivona</w:t>
      </w:r>
      <w:r>
        <w:rPr>
          <w:rFonts w:ascii="Cambria" w:hAnsi="Cambria" w:cs="Arial"/>
          <w:color w:val="auto"/>
          <w:sz w:val="24"/>
          <w:lang w:val="ro-RO"/>
        </w:rPr>
        <w:t xml:space="preserve"> Tomita</w:t>
      </w:r>
      <w:r w:rsidRPr="00D51010">
        <w:rPr>
          <w:rFonts w:ascii="Cambria" w:hAnsi="Cambria" w:cs="Arial"/>
          <w:color w:val="auto"/>
          <w:sz w:val="24"/>
          <w:lang w:val="ro-RO"/>
        </w:rPr>
        <w:t>. Rheological Properties of Some Materials Used for Dental Impression. Journal of biomimetics biomaterials and biomedical engineering. 2017. 34:</w:t>
      </w:r>
      <w:r w:rsidRPr="00D51010">
        <w:rPr>
          <w:rFonts w:ascii="Cambria" w:hAnsi="Cambria" w:cs="Arial"/>
          <w:color w:val="auto"/>
          <w:sz w:val="24"/>
        </w:rPr>
        <w:t xml:space="preserve"> 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75-81. DOI: 10.4028/www.scientific.net/JBBBE.34.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 = 0.69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Mihai </w:t>
      </w:r>
      <w:r>
        <w:rPr>
          <w:rFonts w:ascii="Cambria" w:hAnsi="Cambria" w:cs="Arial"/>
          <w:color w:val="auto"/>
          <w:sz w:val="24"/>
          <w:lang w:val="ro-RO"/>
        </w:rPr>
        <w:t>Luchian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Carmen Stadoleanu, Catalin </w:t>
      </w:r>
      <w:r>
        <w:rPr>
          <w:rFonts w:ascii="Cambria" w:hAnsi="Cambria" w:cs="Arial"/>
          <w:color w:val="auto"/>
          <w:sz w:val="24"/>
          <w:lang w:val="ro-RO"/>
        </w:rPr>
        <w:t>Iov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Laura Romila, Laura Sabina </w:t>
      </w:r>
      <w:r>
        <w:rPr>
          <w:rFonts w:ascii="Cambria" w:hAnsi="Cambria" w:cs="Arial"/>
          <w:color w:val="auto"/>
          <w:sz w:val="24"/>
          <w:lang w:val="ro-RO"/>
        </w:rPr>
        <w:t>Luchian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 Sever Matei Stadoleanu, </w:t>
      </w:r>
      <w:r>
        <w:rPr>
          <w:rFonts w:ascii="Cambria" w:hAnsi="Cambria" w:cs="Arial"/>
          <w:color w:val="auto"/>
          <w:sz w:val="24"/>
          <w:lang w:val="ro-RO"/>
        </w:rPr>
        <w:t xml:space="preserve"> 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Vasile </w:t>
      </w:r>
      <w:r>
        <w:rPr>
          <w:rFonts w:ascii="Cambria" w:hAnsi="Cambria" w:cs="Arial"/>
          <w:color w:val="auto"/>
          <w:sz w:val="24"/>
          <w:lang w:val="ro-RO"/>
        </w:rPr>
        <w:t>Burlui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.  Monitorization of therapeutical act performance in the digitalized era - determination of patient's satisfaction.  </w:t>
      </w:r>
      <w:r w:rsidRPr="00D51010">
        <w:rPr>
          <w:rFonts w:ascii="Cambria" w:hAnsi="Cambria" w:cs="Arial"/>
          <w:color w:val="auto"/>
          <w:sz w:val="24"/>
          <w:lang w:val="en-US"/>
        </w:rPr>
        <w:t>International Journal of Medical Dentistry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. 2017; 21(2): 102-109.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Cornelia Ursu, Carmen Stadoleanu, Laura Romila, Liliana Sachelarie, Rodica Ghiuru, Vasile </w:t>
      </w:r>
      <w:r>
        <w:rPr>
          <w:rFonts w:ascii="Cambria" w:hAnsi="Cambria" w:cs="Arial"/>
          <w:color w:val="auto"/>
          <w:sz w:val="24"/>
          <w:lang w:val="ro-RO"/>
        </w:rPr>
        <w:t>Burlui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. The paradigm of medical controversies. </w:t>
      </w:r>
      <w:r w:rsidRPr="00D51010">
        <w:rPr>
          <w:rFonts w:ascii="Cambria" w:hAnsi="Cambria" w:cs="Arial"/>
          <w:color w:val="auto"/>
          <w:sz w:val="24"/>
          <w:lang w:val="en-US"/>
        </w:rPr>
        <w:t xml:space="preserve">International Journal of Medical </w:t>
      </w:r>
      <w:r w:rsidRPr="00D51010">
        <w:rPr>
          <w:rFonts w:ascii="Cambria" w:hAnsi="Cambria" w:cs="Arial"/>
          <w:color w:val="auto"/>
          <w:sz w:val="24"/>
          <w:lang w:val="en-US"/>
        </w:rPr>
        <w:lastRenderedPageBreak/>
        <w:t>Dentistry</w:t>
      </w:r>
      <w:r w:rsidRPr="00D51010">
        <w:rPr>
          <w:rFonts w:ascii="Cambria" w:hAnsi="Cambria" w:cs="Arial"/>
          <w:color w:val="auto"/>
          <w:sz w:val="24"/>
          <w:lang w:val="ro-RO"/>
        </w:rPr>
        <w:t>. 2016; 20(4): 251-254.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Vasile Burlui, Oana Cucoveica, Elena Folescu, Laura Romila, Mihaela Papusa Vasiliu,   Carmen </w:t>
      </w:r>
      <w:r>
        <w:rPr>
          <w:rFonts w:ascii="Cambria" w:hAnsi="Cambria" w:cs="Arial"/>
          <w:color w:val="auto"/>
          <w:sz w:val="24"/>
          <w:lang w:val="ro-RO"/>
        </w:rPr>
        <w:t xml:space="preserve">Stadoleanu. 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On the incidence of various pathologies in the etiology of the disfunctional syndrome of the stomatognate system. </w:t>
      </w:r>
      <w:r w:rsidRPr="00D51010">
        <w:rPr>
          <w:rFonts w:ascii="Cambria" w:hAnsi="Cambria" w:cs="Arial"/>
          <w:color w:val="auto"/>
          <w:sz w:val="24"/>
          <w:lang w:val="en-US"/>
        </w:rPr>
        <w:t>International Journal of Medical Dentistry</w:t>
      </w:r>
      <w:r w:rsidRPr="00D51010">
        <w:rPr>
          <w:rFonts w:ascii="Cambria" w:hAnsi="Cambria" w:cs="Arial"/>
          <w:color w:val="auto"/>
          <w:sz w:val="24"/>
          <w:lang w:val="ro-RO"/>
        </w:rPr>
        <w:t>. 2016; 20(3): 200-204.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 xml:space="preserve"> IF=0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Mihaela-Păpușa Vasiliu, Liliana Sachelarie,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</w:t>
      </w:r>
      <w:r w:rsidRPr="00D51010">
        <w:rPr>
          <w:rFonts w:ascii="Cambria" w:hAnsi="Cambria" w:cs="Arial"/>
          <w:color w:val="auto"/>
          <w:sz w:val="24"/>
          <w:u w:val="single"/>
          <w:lang w:val="ro-RO"/>
        </w:rPr>
        <w:t xml:space="preserve">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Ecaterina Dârțu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Elena Folescu, Leonard Atanase, Aripina Zaharia, Surface state studies and biocompatibility of PMMA, Journal of Biomimetics, Biomaterials and Biomedical Engineering, 2016, 28: 57-65. DOI: 10.4028/www.scientific.net/JBBBE.28.57.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 = 0.69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b/>
          <w:color w:val="auto"/>
          <w:sz w:val="24"/>
          <w:lang w:val="ro-RO"/>
        </w:rPr>
      </w:pPr>
      <w:proofErr w:type="spellStart"/>
      <w:r w:rsidRPr="00D51010">
        <w:rPr>
          <w:rFonts w:ascii="Cambria" w:hAnsi="Cambria" w:cs="Arial"/>
          <w:color w:val="auto"/>
          <w:sz w:val="24"/>
        </w:rPr>
        <w:t>L</w:t>
      </w:r>
      <w:r>
        <w:rPr>
          <w:rFonts w:ascii="Cambria" w:hAnsi="Cambria" w:cs="Arial"/>
          <w:color w:val="auto"/>
          <w:sz w:val="24"/>
        </w:rPr>
        <w:t>iliana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 </w:t>
      </w:r>
      <w:proofErr w:type="spellStart"/>
      <w:r w:rsidRPr="00D51010">
        <w:rPr>
          <w:rFonts w:ascii="Cambria" w:hAnsi="Cambria" w:cs="Arial"/>
          <w:color w:val="auto"/>
          <w:sz w:val="24"/>
        </w:rPr>
        <w:t>Sachelarie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proofErr w:type="spellStart"/>
      <w:r>
        <w:rPr>
          <w:rFonts w:ascii="Cambria" w:hAnsi="Cambria" w:cs="Arial"/>
          <w:color w:val="auto"/>
          <w:sz w:val="24"/>
        </w:rPr>
        <w:t>Dorina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Farcas</w:t>
      </w:r>
      <w:proofErr w:type="spellEnd"/>
      <w:r w:rsidRPr="00D51010">
        <w:rPr>
          <w:rFonts w:ascii="Cambria" w:hAnsi="Cambria" w:cs="Arial"/>
          <w:color w:val="auto"/>
          <w:sz w:val="24"/>
        </w:rPr>
        <w:t xml:space="preserve">, </w:t>
      </w:r>
      <w:r>
        <w:rPr>
          <w:rFonts w:ascii="Cambria" w:hAnsi="Cambria" w:cs="Arial"/>
          <w:b/>
          <w:color w:val="auto"/>
          <w:sz w:val="24"/>
          <w:u w:val="single"/>
        </w:rPr>
        <w:t>Laura</w:t>
      </w:r>
      <w:r w:rsidRPr="00D51010">
        <w:rPr>
          <w:rFonts w:ascii="Cambria" w:hAnsi="Cambria" w:cs="Arial"/>
          <w:b/>
          <w:color w:val="auto"/>
          <w:sz w:val="24"/>
          <w:u w:val="single"/>
        </w:rPr>
        <w:t xml:space="preserve"> </w:t>
      </w:r>
      <w:proofErr w:type="spellStart"/>
      <w:r w:rsidRPr="00D51010">
        <w:rPr>
          <w:rFonts w:ascii="Cambria" w:hAnsi="Cambria" w:cs="Arial"/>
          <w:b/>
          <w:color w:val="auto"/>
          <w:sz w:val="24"/>
          <w:u w:val="single"/>
        </w:rPr>
        <w:t>Dartu</w:t>
      </w:r>
      <w:proofErr w:type="spellEnd"/>
      <w:r>
        <w:rPr>
          <w:rFonts w:ascii="Cambria" w:hAnsi="Cambria" w:cs="Arial"/>
          <w:color w:val="auto"/>
          <w:sz w:val="24"/>
        </w:rPr>
        <w:t xml:space="preserve">, </w:t>
      </w:r>
      <w:proofErr w:type="spellStart"/>
      <w:r>
        <w:rPr>
          <w:rFonts w:ascii="Cambria" w:hAnsi="Cambria" w:cs="Arial"/>
          <w:color w:val="auto"/>
          <w:sz w:val="24"/>
        </w:rPr>
        <w:t>Mihaela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Vasiliu</w:t>
      </w:r>
      <w:proofErr w:type="spellEnd"/>
      <w:r>
        <w:rPr>
          <w:rFonts w:ascii="Cambria" w:hAnsi="Cambria" w:cs="Arial"/>
          <w:color w:val="auto"/>
          <w:sz w:val="24"/>
        </w:rPr>
        <w:t xml:space="preserve">, </w:t>
      </w:r>
      <w:proofErr w:type="spellStart"/>
      <w:r>
        <w:rPr>
          <w:rFonts w:ascii="Cambria" w:hAnsi="Cambria" w:cs="Arial"/>
          <w:color w:val="auto"/>
          <w:sz w:val="24"/>
        </w:rPr>
        <w:t>Oana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Daraba</w:t>
      </w:r>
      <w:proofErr w:type="spellEnd"/>
      <w:r>
        <w:rPr>
          <w:rFonts w:ascii="Cambria" w:hAnsi="Cambria" w:cs="Arial"/>
          <w:color w:val="auto"/>
          <w:sz w:val="24"/>
        </w:rPr>
        <w:t xml:space="preserve">, </w:t>
      </w:r>
      <w:proofErr w:type="spellStart"/>
      <w:r>
        <w:rPr>
          <w:rFonts w:ascii="Cambria" w:hAnsi="Cambria" w:cs="Arial"/>
          <w:color w:val="auto"/>
          <w:sz w:val="24"/>
        </w:rPr>
        <w:t>Smaranda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Nazarie</w:t>
      </w:r>
      <w:proofErr w:type="spellEnd"/>
      <w:r>
        <w:rPr>
          <w:rFonts w:ascii="Cambria" w:hAnsi="Cambria" w:cs="Arial"/>
          <w:color w:val="auto"/>
          <w:sz w:val="24"/>
        </w:rPr>
        <w:t xml:space="preserve">, Constanta </w:t>
      </w:r>
      <w:proofErr w:type="spellStart"/>
      <w:r>
        <w:rPr>
          <w:rFonts w:ascii="Cambria" w:hAnsi="Cambria" w:cs="Arial"/>
          <w:color w:val="auto"/>
          <w:sz w:val="24"/>
        </w:rPr>
        <w:t>Mocanu</w:t>
      </w:r>
      <w:proofErr w:type="spellEnd"/>
      <w:r>
        <w:rPr>
          <w:rFonts w:ascii="Cambria" w:hAnsi="Cambria" w:cs="Arial"/>
          <w:color w:val="auto"/>
          <w:sz w:val="24"/>
        </w:rPr>
        <w:t xml:space="preserve">, </w:t>
      </w:r>
      <w:proofErr w:type="spellStart"/>
      <w:r>
        <w:rPr>
          <w:rFonts w:ascii="Cambria" w:hAnsi="Cambria" w:cs="Arial"/>
          <w:color w:val="auto"/>
          <w:sz w:val="24"/>
        </w:rPr>
        <w:t>Vasile</w:t>
      </w:r>
      <w:proofErr w:type="spellEnd"/>
      <w:r>
        <w:rPr>
          <w:rFonts w:ascii="Cambria" w:hAnsi="Cambria" w:cs="Arial"/>
          <w:color w:val="auto"/>
          <w:sz w:val="24"/>
        </w:rPr>
        <w:t xml:space="preserve"> </w:t>
      </w:r>
      <w:proofErr w:type="spellStart"/>
      <w:r>
        <w:rPr>
          <w:rFonts w:ascii="Cambria" w:hAnsi="Cambria" w:cs="Arial"/>
          <w:color w:val="auto"/>
          <w:sz w:val="24"/>
        </w:rPr>
        <w:t>Burlui</w:t>
      </w:r>
      <w:proofErr w:type="spellEnd"/>
      <w:r>
        <w:rPr>
          <w:rFonts w:ascii="Cambria" w:hAnsi="Cambria" w:cs="Arial"/>
          <w:color w:val="auto"/>
          <w:sz w:val="24"/>
        </w:rPr>
        <w:t>.</w:t>
      </w:r>
      <w:r w:rsidRPr="00D51010">
        <w:rPr>
          <w:rFonts w:ascii="Cambria" w:hAnsi="Cambria" w:cs="Arial"/>
          <w:color w:val="auto"/>
          <w:sz w:val="24"/>
        </w:rPr>
        <w:t xml:space="preserve"> </w:t>
      </w:r>
      <w:r w:rsidRPr="00D51010">
        <w:rPr>
          <w:rFonts w:ascii="Cambria" w:hAnsi="Cambria" w:cs="Arial"/>
          <w:color w:val="auto"/>
          <w:sz w:val="24"/>
          <w:lang w:val="ro-RO"/>
        </w:rPr>
        <w:t>Comparative study of diseases of the stomatognathic system and specific parameters of osteoporosis, Osteoporos</w:t>
      </w:r>
      <w:r>
        <w:rPr>
          <w:rFonts w:ascii="Cambria" w:hAnsi="Cambria" w:cs="Arial"/>
          <w:color w:val="auto"/>
          <w:sz w:val="24"/>
          <w:lang w:val="ro-RO"/>
        </w:rPr>
        <w:t xml:space="preserve"> Int</w:t>
      </w:r>
      <w:r w:rsidRPr="00D51010">
        <w:rPr>
          <w:rFonts w:ascii="Cambria" w:hAnsi="Cambria" w:cs="Arial"/>
          <w:color w:val="auto"/>
          <w:sz w:val="24"/>
          <w:lang w:val="ro-RO"/>
        </w:rPr>
        <w:t>. 2016; 27(2):</w:t>
      </w:r>
      <w:r w:rsidRPr="00D51010">
        <w:rPr>
          <w:rFonts w:ascii="Cambria" w:eastAsia="Calibri" w:hAnsi="Cambria" w:cs="Arial"/>
          <w:color w:val="auto"/>
          <w:spacing w:val="0"/>
          <w:kern w:val="0"/>
          <w:sz w:val="24"/>
          <w:shd w:val="clear" w:color="auto" w:fill="F8F8F8"/>
          <w:lang w:val="ro-RO" w:eastAsia="en-US" w:bidi="ar-SA"/>
        </w:rPr>
        <w:t xml:space="preserve"> 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845-848.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 = 4.169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b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Gabriela Carja,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Dartu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Kyoshi Okada, Elvira Fortunato, Nanoparticles of copper oxide on layered double hydroxides and the derived solid solutions as wide spectrum active nano-photocatalysts, Chemical Engineering Journal. 2013; 222:60–66.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 = 3.461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b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Gabriela Carja, Gabriela Lehutu,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Dartu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Myrjam Mertens, Pegie Cool, Layered double hydroxides reconstructed in calcium glutamate aqueous solution as a complex delivery system, Applied Clay Science. 2012; 65–66:37–42.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IF= 2.474</w:t>
      </w:r>
    </w:p>
    <w:p w:rsidR="00044B18" w:rsidRPr="00D51010" w:rsidRDefault="00044B18" w:rsidP="00044B18">
      <w:pPr>
        <w:pStyle w:val="ECVSectionDetails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mbria" w:hAnsi="Cambria" w:cs="Arial"/>
          <w:color w:val="auto"/>
          <w:sz w:val="24"/>
          <w:lang w:val="ro-RO"/>
        </w:rPr>
      </w:pPr>
      <w:r w:rsidRPr="00D51010">
        <w:rPr>
          <w:rFonts w:ascii="Cambria" w:hAnsi="Cambria" w:cs="Arial"/>
          <w:color w:val="auto"/>
          <w:sz w:val="24"/>
          <w:lang w:val="ro-RO"/>
        </w:rPr>
        <w:t xml:space="preserve">Sofronia Bouariu, </w:t>
      </w:r>
      <w:r w:rsidRPr="00D51010">
        <w:rPr>
          <w:rFonts w:ascii="Cambria" w:hAnsi="Cambria" w:cs="Arial"/>
          <w:b/>
          <w:color w:val="auto"/>
          <w:sz w:val="24"/>
          <w:u w:val="single"/>
          <w:lang w:val="ro-RO"/>
        </w:rPr>
        <w:t>Laura Dartu</w:t>
      </w:r>
      <w:r w:rsidRPr="00D51010">
        <w:rPr>
          <w:rFonts w:ascii="Cambria" w:hAnsi="Cambria" w:cs="Arial"/>
          <w:color w:val="auto"/>
          <w:sz w:val="24"/>
          <w:lang w:val="ro-RO"/>
        </w:rPr>
        <w:t xml:space="preserve">, Gabriela Carja, Silver-layered double hydroxides self-assemblies. Study on the thermal behavior using TG-FTIR analysis, Journal of Thermal Analysis and Calorimetry. 2012; 111(2):1263-1271. </w:t>
      </w:r>
      <w:r w:rsidRPr="00D51010">
        <w:rPr>
          <w:rFonts w:ascii="Cambria" w:hAnsi="Cambria" w:cs="Arial"/>
          <w:b/>
          <w:color w:val="auto"/>
          <w:sz w:val="24"/>
          <w:lang w:val="ro-RO"/>
        </w:rPr>
        <w:t>IF= 1.59</w:t>
      </w:r>
    </w:p>
    <w:p w:rsidR="00BF778A" w:rsidRPr="00BF778A" w:rsidRDefault="00BF778A" w:rsidP="00BF778A">
      <w:pPr>
        <w:pStyle w:val="ECVSectionDetails"/>
        <w:tabs>
          <w:tab w:val="left" w:pos="284"/>
        </w:tabs>
        <w:spacing w:before="0" w:line="360" w:lineRule="auto"/>
        <w:jc w:val="both"/>
        <w:rPr>
          <w:rFonts w:asciiTheme="majorHAnsi" w:hAnsiTheme="majorHAnsi" w:cs="Arial"/>
          <w:color w:val="auto"/>
          <w:sz w:val="24"/>
          <w:lang w:val="ro-RO"/>
        </w:rPr>
      </w:pPr>
    </w:p>
    <w:p w:rsidR="0048630F" w:rsidRDefault="00BF778A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F778A">
        <w:rPr>
          <w:rFonts w:asciiTheme="majorHAnsi" w:eastAsia="SimSun" w:hAnsiTheme="majorHAnsi" w:cs="Arial"/>
          <w:b/>
          <w:spacing w:val="-6"/>
          <w:kern w:val="1"/>
          <w:sz w:val="24"/>
          <w:szCs w:val="24"/>
          <w:u w:val="single"/>
          <w:lang w:eastAsia="zh-CN" w:bidi="hi-IN"/>
        </w:rPr>
        <w:t xml:space="preserve">c) </w:t>
      </w:r>
      <w:r w:rsidR="00FD0999" w:rsidRPr="00BF778A">
        <w:rPr>
          <w:rFonts w:asciiTheme="majorHAnsi" w:hAnsiTheme="majorHAnsi"/>
          <w:b/>
          <w:sz w:val="24"/>
          <w:szCs w:val="24"/>
          <w:u w:val="single"/>
        </w:rPr>
        <w:t>FIC&gt;15</w:t>
      </w:r>
      <w:r w:rsidR="00627BA5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6F399A" w:rsidRPr="0048630F" w:rsidRDefault="00B3352D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F778A">
        <w:rPr>
          <w:rFonts w:asciiTheme="majorHAnsi" w:hAnsiTheme="majorHAnsi"/>
          <w:b/>
          <w:sz w:val="24"/>
          <w:szCs w:val="24"/>
        </w:rPr>
        <w:t>FIC=</w:t>
      </w:r>
      <w:r w:rsidR="00044B18">
        <w:rPr>
          <w:rFonts w:asciiTheme="majorHAnsi" w:hAnsiTheme="majorHAnsi"/>
          <w:b/>
          <w:sz w:val="24"/>
          <w:szCs w:val="24"/>
        </w:rPr>
        <w:t>31,25</w:t>
      </w:r>
    </w:p>
    <w:p w:rsidR="004427B6" w:rsidRDefault="004427B6" w:rsidP="00BF778A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4F1565" w:rsidRPr="004F1565" w:rsidRDefault="004F1565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4F1565">
        <w:rPr>
          <w:rFonts w:ascii="Cambria" w:hAnsi="Cambria"/>
          <w:b/>
          <w:sz w:val="24"/>
          <w:szCs w:val="24"/>
          <w:u w:val="single"/>
        </w:rPr>
        <w:t xml:space="preserve">d) </w:t>
      </w:r>
      <w:r w:rsidRPr="004F1565">
        <w:rPr>
          <w:rFonts w:asciiTheme="majorHAnsi" w:hAnsiTheme="majorHAnsi"/>
          <w:b/>
          <w:sz w:val="24"/>
          <w:szCs w:val="24"/>
          <w:u w:val="single"/>
        </w:rPr>
        <w:t xml:space="preserve">NC ≥ 50 </w:t>
      </w:r>
    </w:p>
    <w:p w:rsidR="004F1565" w:rsidRPr="000B0513" w:rsidRDefault="00CF0608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CF0608">
        <w:rPr>
          <w:rFonts w:asciiTheme="majorHAnsi" w:hAnsiTheme="majorHAnsi"/>
          <w:b/>
          <w:sz w:val="24"/>
          <w:szCs w:val="24"/>
        </w:rPr>
        <w:t xml:space="preserve">NC </w:t>
      </w:r>
      <w:r w:rsidRPr="000B0513">
        <w:rPr>
          <w:rFonts w:asciiTheme="majorHAnsi" w:hAnsiTheme="majorHAnsi"/>
          <w:b/>
          <w:sz w:val="24"/>
          <w:szCs w:val="24"/>
          <w:lang w:val="en-US"/>
        </w:rPr>
        <w:t xml:space="preserve">= </w:t>
      </w:r>
      <w:r w:rsidR="00FF0151">
        <w:rPr>
          <w:rFonts w:asciiTheme="majorHAnsi" w:hAnsiTheme="majorHAnsi"/>
          <w:b/>
          <w:sz w:val="24"/>
          <w:szCs w:val="24"/>
          <w:lang w:val="en-US"/>
        </w:rPr>
        <w:t>149</w:t>
      </w:r>
    </w:p>
    <w:p w:rsidR="00CF0608" w:rsidRPr="00CF0608" w:rsidRDefault="00CF0608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u w:val="single"/>
          <w:lang w:val="en-US"/>
        </w:rPr>
      </w:pPr>
    </w:p>
    <w:p w:rsidR="004F1565" w:rsidRDefault="004F1565" w:rsidP="00BF778A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F1565">
        <w:rPr>
          <w:rFonts w:asciiTheme="majorHAnsi" w:hAnsiTheme="majorHAnsi"/>
          <w:b/>
          <w:sz w:val="24"/>
          <w:szCs w:val="24"/>
          <w:u w:val="single"/>
        </w:rPr>
        <w:t>e) NCO ≥ 1 (in calitate de Director proiect/Responsabil proiect)</w:t>
      </w:r>
      <w:r w:rsidR="0048630F">
        <w:rPr>
          <w:rFonts w:asciiTheme="majorHAnsi" w:hAnsiTheme="majorHAnsi"/>
          <w:b/>
          <w:sz w:val="24"/>
          <w:szCs w:val="24"/>
          <w:u w:val="single"/>
        </w:rPr>
        <w:t xml:space="preserve"> - </w:t>
      </w:r>
      <w:r w:rsidR="00902957" w:rsidRPr="00902957">
        <w:rPr>
          <w:rFonts w:asciiTheme="majorHAnsi" w:hAnsiTheme="majorHAnsi"/>
          <w:b/>
          <w:sz w:val="24"/>
          <w:szCs w:val="24"/>
        </w:rPr>
        <w:t>1</w:t>
      </w:r>
    </w:p>
    <w:p w:rsidR="0048630F" w:rsidRDefault="0048630F" w:rsidP="00BF778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8630F">
        <w:rPr>
          <w:rFonts w:ascii="Cambria" w:hAnsi="Cambria"/>
          <w:sz w:val="24"/>
          <w:szCs w:val="24"/>
        </w:rPr>
        <w:t>Proiect câștigat prin competiție naţională,</w:t>
      </w:r>
      <w:r w:rsidRPr="0048630F">
        <w:rPr>
          <w:rFonts w:ascii="Cambria" w:hAnsi="Cambria"/>
          <w:b/>
          <w:sz w:val="24"/>
          <w:szCs w:val="24"/>
        </w:rPr>
        <w:t>Studies on the effects resulting from exposure of zebrafish (Danio rerio) to different materials used in dentistry (ZebraDent)</w:t>
      </w:r>
      <w:r w:rsidRPr="0048630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(valoarea proiectului – 10.000 euro)</w:t>
      </w:r>
    </w:p>
    <w:p w:rsidR="0048630F" w:rsidRPr="004F1565" w:rsidRDefault="0048630F" w:rsidP="00BF778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8630F">
        <w:rPr>
          <w:rFonts w:ascii="Cambria" w:hAnsi="Cambria"/>
          <w:sz w:val="24"/>
          <w:szCs w:val="24"/>
        </w:rPr>
        <w:t>Director proiect - Șef lucr. Dr. Laura Romila (Nr. 244/29.03.2024)</w:t>
      </w:r>
    </w:p>
    <w:sectPr w:rsidR="0048630F" w:rsidRPr="004F1565" w:rsidSect="00902957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157"/>
    <w:multiLevelType w:val="hybridMultilevel"/>
    <w:tmpl w:val="D0F8795E"/>
    <w:lvl w:ilvl="0" w:tplc="772E9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25A13"/>
    <w:multiLevelType w:val="hybridMultilevel"/>
    <w:tmpl w:val="B56A18B4"/>
    <w:lvl w:ilvl="0" w:tplc="18168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22251"/>
    <w:multiLevelType w:val="hybridMultilevel"/>
    <w:tmpl w:val="64DE07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97003"/>
    <w:multiLevelType w:val="hybridMultilevel"/>
    <w:tmpl w:val="D0F8795E"/>
    <w:lvl w:ilvl="0" w:tplc="772E9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399A"/>
    <w:rsid w:val="00044B18"/>
    <w:rsid w:val="00045C2A"/>
    <w:rsid w:val="000B0513"/>
    <w:rsid w:val="00262622"/>
    <w:rsid w:val="002D3710"/>
    <w:rsid w:val="003562D7"/>
    <w:rsid w:val="003C2835"/>
    <w:rsid w:val="004427B6"/>
    <w:rsid w:val="0048630F"/>
    <w:rsid w:val="004F1565"/>
    <w:rsid w:val="00627BA5"/>
    <w:rsid w:val="006F399A"/>
    <w:rsid w:val="00816884"/>
    <w:rsid w:val="00902957"/>
    <w:rsid w:val="009E196B"/>
    <w:rsid w:val="00A110E5"/>
    <w:rsid w:val="00A5060F"/>
    <w:rsid w:val="00AF707C"/>
    <w:rsid w:val="00B3352D"/>
    <w:rsid w:val="00BF778A"/>
    <w:rsid w:val="00CF0608"/>
    <w:rsid w:val="00CF7A65"/>
    <w:rsid w:val="00E25644"/>
    <w:rsid w:val="00E55F82"/>
    <w:rsid w:val="00FD0999"/>
    <w:rsid w:val="00FF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35"/>
  </w:style>
  <w:style w:type="paragraph" w:styleId="Heading2">
    <w:name w:val="heading 2"/>
    <w:basedOn w:val="Normal"/>
    <w:link w:val="Heading2Char"/>
    <w:uiPriority w:val="9"/>
    <w:qFormat/>
    <w:rsid w:val="006F3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SectionDetails">
    <w:name w:val="_ECV_SectionDetails"/>
    <w:basedOn w:val="Normal"/>
    <w:rsid w:val="006F399A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styleId="Hyperlink">
    <w:name w:val="Hyperlink"/>
    <w:rsid w:val="006F399A"/>
    <w:rPr>
      <w:color w:val="0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399A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ListParagraph">
    <w:name w:val="List Paragraph"/>
    <w:basedOn w:val="Normal"/>
    <w:uiPriority w:val="34"/>
    <w:qFormat/>
    <w:rsid w:val="00BF77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0B0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  <w:lang w:val="en-US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0B0513"/>
    <w:rPr>
      <w:rFonts w:ascii="Arial Unicode MS" w:eastAsia="Times New Roman" w:hAnsi="Arial Unicode MS" w:cs="Arial Unicode MS"/>
      <w:color w:val="000000"/>
      <w:sz w:val="20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biomedicines12020293.%20IF%204,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1777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2024-06-17T07:03:00Z</dcterms:created>
  <dcterms:modified xsi:type="dcterms:W3CDTF">2024-07-03T11:44:00Z</dcterms:modified>
</cp:coreProperties>
</file>